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F78" w:rsidRDefault="005C5F78" w:rsidP="005C5F78">
      <w:pPr>
        <w:pStyle w:val="ttsp"/>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n"/>
        <w:spacing w:before="0" w:beforeAutospacing="0" w:after="0" w:afterAutospacing="0"/>
        <w:jc w:val="center"/>
        <w:rPr>
          <w:rFonts w:ascii="Arial" w:hAnsi="Arial" w:cs="Arial"/>
        </w:rPr>
      </w:pPr>
      <w:r>
        <w:rPr>
          <w:rFonts w:ascii="Arial" w:hAnsi="Arial" w:cs="Arial"/>
          <w:noProof/>
        </w:rPr>
        <w:drawing>
          <wp:inline distT="0" distB="0" distL="0" distR="0" wp14:anchorId="58FD96D0" wp14:editId="4BF138B9">
            <wp:extent cx="628650" cy="628650"/>
            <wp:effectExtent l="0" t="0" r="0" b="0"/>
            <wp:docPr id="1" name="Picture 1" descr="\\e-lex\elex\elexdb\a00e5eb0973d24649a4a920fc53d9564\1656f09aa9600a5bc2bb9837818d7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x\elex\elexdb\a00e5eb0973d24649a4a920fc53d9564\1656f09aa9600a5bc2bb9837818d7ed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rsidR="005C5F78" w:rsidRDefault="005C5F78" w:rsidP="005C5F78">
      <w:pPr>
        <w:pStyle w:val="emit"/>
        <w:spacing w:before="0" w:beforeAutospacing="0" w:after="0" w:afterAutospacing="0"/>
        <w:jc w:val="center"/>
        <w:rPr>
          <w:rFonts w:ascii="Arial" w:hAnsi="Arial" w:cs="Arial"/>
          <w:b/>
          <w:bCs/>
          <w:sz w:val="25"/>
          <w:szCs w:val="25"/>
        </w:rPr>
      </w:pPr>
      <w:r>
        <w:rPr>
          <w:rFonts w:ascii="Arial" w:hAnsi="Arial" w:cs="Arial"/>
          <w:b/>
          <w:bCs/>
          <w:sz w:val="25"/>
          <w:szCs w:val="25"/>
        </w:rPr>
        <w:t>ACORD BILATERAL</w:t>
      </w:r>
    </w:p>
    <w:p w:rsidR="005C5F78" w:rsidRDefault="005C5F78" w:rsidP="005C5F78">
      <w:pPr>
        <w:pStyle w:val="ttsp"/>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tt"/>
        <w:spacing w:before="0" w:beforeAutospacing="0" w:after="0" w:afterAutospacing="0"/>
        <w:jc w:val="center"/>
        <w:rPr>
          <w:rFonts w:ascii="Arial" w:hAnsi="Arial" w:cs="Arial"/>
          <w:b/>
          <w:bCs/>
        </w:rPr>
      </w:pPr>
      <w:r>
        <w:rPr>
          <w:rFonts w:ascii="Arial" w:hAnsi="Arial" w:cs="Arial"/>
          <w:b/>
          <w:bCs/>
        </w:rPr>
        <w:t>A C O R D</w:t>
      </w:r>
    </w:p>
    <w:p w:rsidR="005C5F78" w:rsidRDefault="005C5F78" w:rsidP="005C5F78">
      <w:pPr>
        <w:pStyle w:val="tt"/>
        <w:spacing w:before="0" w:beforeAutospacing="0" w:after="0" w:afterAutospacing="0"/>
        <w:jc w:val="center"/>
        <w:rPr>
          <w:rFonts w:ascii="Arial" w:hAnsi="Arial" w:cs="Arial"/>
          <w:b/>
          <w:bCs/>
        </w:rPr>
      </w:pPr>
      <w:r>
        <w:rPr>
          <w:rFonts w:ascii="Arial" w:hAnsi="Arial" w:cs="Arial"/>
          <w:b/>
          <w:bCs/>
        </w:rPr>
        <w:t>între Guvernul Republicii Moldova şi Guvernul Principatului</w:t>
      </w:r>
    </w:p>
    <w:p w:rsidR="005C5F78" w:rsidRDefault="005C5F78" w:rsidP="005C5F78">
      <w:pPr>
        <w:pStyle w:val="tt"/>
        <w:spacing w:before="0" w:beforeAutospacing="0" w:after="0" w:afterAutospacing="0"/>
        <w:jc w:val="center"/>
        <w:rPr>
          <w:rFonts w:ascii="Arial" w:hAnsi="Arial" w:cs="Arial"/>
          <w:b/>
          <w:bCs/>
        </w:rPr>
      </w:pPr>
      <w:r>
        <w:rPr>
          <w:rFonts w:ascii="Arial" w:hAnsi="Arial" w:cs="Arial"/>
          <w:b/>
          <w:bCs/>
        </w:rPr>
        <w:t>Liechtenstein privind asistenţa umanitară</w:t>
      </w:r>
    </w:p>
    <w:p w:rsidR="005C5F78" w:rsidRDefault="005C5F78" w:rsidP="005C5F78">
      <w:pPr>
        <w:pStyle w:val="tt"/>
        <w:spacing w:before="0" w:beforeAutospacing="0" w:after="0" w:afterAutospacing="0"/>
        <w:jc w:val="center"/>
        <w:rPr>
          <w:rFonts w:ascii="Arial" w:hAnsi="Arial" w:cs="Arial"/>
          <w:b/>
          <w:bCs/>
        </w:rPr>
      </w:pPr>
      <w:r>
        <w:rPr>
          <w:rFonts w:ascii="Arial" w:hAnsi="Arial" w:cs="Arial"/>
          <w:b/>
          <w:bCs/>
        </w:rPr>
        <w:t>şi cooperarea tehnică</w:t>
      </w:r>
    </w:p>
    <w:p w:rsidR="005C5F78" w:rsidRDefault="005C5F78" w:rsidP="005C5F78">
      <w:pPr>
        <w:pStyle w:val="tt"/>
        <w:spacing w:before="0" w:beforeAutospacing="0" w:after="0" w:afterAutospacing="0"/>
        <w:jc w:val="center"/>
        <w:rPr>
          <w:rFonts w:ascii="Arial" w:hAnsi="Arial" w:cs="Arial"/>
          <w:b/>
          <w:bCs/>
        </w:rPr>
      </w:pPr>
      <w:r>
        <w:rPr>
          <w:rFonts w:ascii="Arial" w:hAnsi="Arial" w:cs="Arial"/>
          <w:b/>
          <w:bCs/>
        </w:rPr>
        <w:t> </w:t>
      </w:r>
    </w:p>
    <w:p w:rsidR="005C5F78" w:rsidRDefault="005C5F78" w:rsidP="005C5F78">
      <w:pPr>
        <w:pStyle w:val="tt"/>
        <w:spacing w:before="0" w:beforeAutospacing="0" w:after="0" w:afterAutospacing="0"/>
        <w:jc w:val="center"/>
        <w:rPr>
          <w:rFonts w:ascii="Arial" w:hAnsi="Arial" w:cs="Arial"/>
          <w:b/>
          <w:bCs/>
        </w:rPr>
      </w:pPr>
      <w:r>
        <w:rPr>
          <w:rFonts w:ascii="Arial" w:hAnsi="Arial" w:cs="Arial"/>
          <w:b/>
          <w:bCs/>
        </w:rPr>
        <w:t>Bruxelles, 5 septembrie 2007</w:t>
      </w:r>
    </w:p>
    <w:p w:rsidR="005C5F78" w:rsidRDefault="005C5F78" w:rsidP="005C5F78">
      <w:pPr>
        <w:pStyle w:val="cn"/>
        <w:spacing w:before="0" w:beforeAutospacing="0" w:after="0" w:afterAutospacing="0"/>
        <w:jc w:val="center"/>
        <w:rPr>
          <w:rFonts w:ascii="Arial" w:hAnsi="Arial" w:cs="Arial"/>
        </w:rPr>
      </w:pPr>
      <w:r>
        <w:rPr>
          <w:rFonts w:ascii="Arial" w:hAnsi="Arial" w:cs="Arial"/>
        </w:rPr>
        <w:t> </w:t>
      </w:r>
      <w:r>
        <w:rPr>
          <w:rFonts w:ascii="Arial" w:hAnsi="Arial" w:cs="Arial"/>
          <w:i/>
          <w:iCs/>
          <w:sz w:val="22"/>
          <w:szCs w:val="22"/>
        </w:rPr>
        <w:t>(în vigoare 17.03.2008)</w:t>
      </w:r>
      <w:r>
        <w:rPr>
          <w:rFonts w:ascii="Arial" w:hAnsi="Arial" w:cs="Arial"/>
        </w:rPr>
        <w:t> </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pb"/>
        <w:spacing w:before="0" w:beforeAutospacing="0" w:after="0" w:afterAutospacing="0"/>
        <w:jc w:val="center"/>
        <w:rPr>
          <w:rFonts w:ascii="Arial" w:hAnsi="Arial" w:cs="Arial"/>
          <w:sz w:val="22"/>
          <w:szCs w:val="22"/>
        </w:rPr>
      </w:pPr>
      <w:r>
        <w:rPr>
          <w:rFonts w:ascii="Arial" w:hAnsi="Arial" w:cs="Arial"/>
          <w:sz w:val="22"/>
          <w:szCs w:val="22"/>
        </w:rPr>
        <w:t>Tratate internaţionale nr.45, pag.284, 2015</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n"/>
        <w:spacing w:before="0" w:beforeAutospacing="0" w:after="0" w:afterAutospacing="0"/>
        <w:jc w:val="center"/>
        <w:rPr>
          <w:rFonts w:ascii="Arial" w:hAnsi="Arial" w:cs="Arial"/>
        </w:rPr>
      </w:pPr>
      <w:r>
        <w:rPr>
          <w:rFonts w:ascii="Arial" w:hAnsi="Arial" w:cs="Arial"/>
        </w:rPr>
        <w:t>* * *</w:t>
      </w:r>
    </w:p>
    <w:p w:rsidR="005C5F78" w:rsidRDefault="005C5F78" w:rsidP="005C5F78">
      <w:pPr>
        <w:pStyle w:val="nt"/>
        <w:spacing w:before="0" w:beforeAutospacing="0" w:after="0" w:afterAutospacing="0"/>
        <w:ind w:left="567" w:right="567" w:hanging="567"/>
        <w:jc w:val="both"/>
        <w:rPr>
          <w:rFonts w:ascii="Arial" w:hAnsi="Arial" w:cs="Arial"/>
          <w:i/>
          <w:iCs/>
          <w:color w:val="663300"/>
          <w:sz w:val="22"/>
          <w:szCs w:val="22"/>
        </w:rPr>
      </w:pPr>
      <w:r>
        <w:rPr>
          <w:rFonts w:ascii="Arial" w:hAnsi="Arial" w:cs="Arial"/>
          <w:i/>
          <w:iCs/>
          <w:color w:val="663300"/>
          <w:sz w:val="22"/>
          <w:szCs w:val="22"/>
        </w:rPr>
        <w:t>Notă: Acordul ratificat prin Legea nr.312 din 27.12.2007</w:t>
      </w:r>
    </w:p>
    <w:p w:rsidR="005C5F78" w:rsidRDefault="005C5F78" w:rsidP="005C5F78">
      <w:pPr>
        <w:pStyle w:val="nt"/>
        <w:spacing w:before="0" w:beforeAutospacing="0" w:after="0" w:afterAutospacing="0"/>
        <w:ind w:left="567" w:right="567" w:hanging="567"/>
        <w:jc w:val="both"/>
        <w:rPr>
          <w:rFonts w:ascii="Arial" w:hAnsi="Arial" w:cs="Arial"/>
          <w:i/>
          <w:iCs/>
          <w:color w:val="663300"/>
          <w:sz w:val="22"/>
          <w:szCs w:val="22"/>
        </w:rPr>
      </w:pPr>
      <w:r>
        <w:rPr>
          <w:rFonts w:ascii="Arial" w:hAnsi="Arial" w:cs="Arial"/>
          <w:i/>
          <w:iCs/>
          <w:color w:val="663300"/>
          <w:sz w:val="22"/>
          <w:szCs w:val="22"/>
        </w:rPr>
        <w:t>Notă: Vezi varianta engleză a Acordului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xml:space="preserve">Guvernul Republicii Moldova şi Guvernul Principatului Liechtenstein, în continuare </w:t>
      </w:r>
      <w:r>
        <w:rPr>
          <w:rFonts w:ascii="Arial" w:hAnsi="Arial" w:cs="Arial"/>
          <w:i/>
          <w:iCs/>
        </w:rPr>
        <w:t>Părţile</w:t>
      </w:r>
      <w:r>
        <w:rPr>
          <w:rFonts w:ascii="Arial" w:hAnsi="Arial" w:cs="Arial"/>
        </w:rPr>
        <w:t>,</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i/>
          <w:iCs/>
        </w:rPr>
        <w:t>avînd</w:t>
      </w:r>
      <w:r>
        <w:rPr>
          <w:rFonts w:ascii="Arial" w:hAnsi="Arial" w:cs="Arial"/>
        </w:rPr>
        <w:t xml:space="preserve"> ca scop fructificarea relaţiilor de prietenie dintre cele doua ţări,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i/>
          <w:iCs/>
        </w:rPr>
        <w:t>dorind</w:t>
      </w:r>
      <w:r>
        <w:rPr>
          <w:rFonts w:ascii="Arial" w:hAnsi="Arial" w:cs="Arial"/>
        </w:rPr>
        <w:t xml:space="preserve"> să intensifice aceste relaţii dezvoltînd o cooperare tehnică şi umanitară avantajoasă între cele două ţări,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i/>
          <w:iCs/>
        </w:rPr>
        <w:t>recunoscînd</w:t>
      </w:r>
      <w:r>
        <w:rPr>
          <w:rFonts w:ascii="Arial" w:hAnsi="Arial" w:cs="Arial"/>
        </w:rPr>
        <w:t xml:space="preserve"> că dezvoltarea cooperării tehnice va contribui la îmbunătăţirea condiţiilor social-economice în Republica Moldova pentru a promova dezvoltarea economiei de piaţă şi a democraţiei,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i/>
          <w:iCs/>
        </w:rPr>
        <w:t>fiind</w:t>
      </w:r>
      <w:r>
        <w:rPr>
          <w:rFonts w:ascii="Arial" w:hAnsi="Arial" w:cs="Arial"/>
        </w:rPr>
        <w:t xml:space="preserve"> conştienţi de făptui că Guvernul Republicii Moldova se obligă să continue reformele pentru a stabili o economie de piaţă în baza idealurilor democratice,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i/>
          <w:iCs/>
        </w:rPr>
        <w:t>au consimţit următoarele</w:t>
      </w:r>
      <w:r>
        <w:rPr>
          <w:rFonts w:ascii="Arial" w:hAnsi="Arial" w:cs="Arial"/>
        </w:rPr>
        <w:t>:</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Articolul 1</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Esenţa Cooperării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Respectarea drepturilor omului şi principiilor democratice constituie un element esenţial al acestui Acord şi reprezintă baza cooperării dintre părţi.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Articolul 2</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Obiective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2.1. Părţile vor promova în cadrul legislaţiei naţionale realizarea proiectelor de asistenţă tehnică si umanitară în Republica Moldova. Aceste proiecte vor contribui la susţinerea procesului reformator în Republica Moldova şi vor diminua costurile economice şi sociale ale acestor ajustări. De asemenea, proiectele vor contribui la diminuarea poverii asupra celor mai vulnerabile pături ale societăţii.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2.2. Obiectivul acestui Acord este de a stabili un cadru legal de reguli şi proceduri pentru a administra şi implementa aceste proiecte.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Articolul 3</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Forme de Cooperare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3.1. Cooperarea poate fi acordată sub formă de Asistenţă Umanitară sau Asistenţă Tehnică.</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3.2. Astfel de cooperare poate fi realizată pe bază bilaterală sau în cooperare cu mai mulţi donatori sau cu organizaţii multilaterale.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b/>
          <w:bCs/>
        </w:rPr>
        <w:t>Asistenţă Umanitară</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lastRenderedPageBreak/>
        <w:t>3.3. Asistenţa Umanitară acordată Părţii moldoveneşti de către Liechtenstein va fi realizată sub formă de bunuri, servicii, experţi şi contribuţie financiară.</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3.4. Proiectele de Asistenţă Umanitară vor fi concentrate în domeniul consolidării procesului de transformare politică şi economică.</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3.5. Guvernul Principatului Liechtenstein va fi reprezentat în domeniul Asistenţei Umanitare de Serviciul de Dezvoltare din Liechtenstein (SDL).</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b/>
          <w:bCs/>
        </w:rPr>
        <w:t>Asistenţă Tehnică</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3.6. Asistenţa Tehnică oferită Părţii moldoveneşti va fi implementată de Liechtenstein sub formă de transfer de know-how şi consultanţă, sub formă de servicii, echipament şi materialele necesare pentru implementarea reuşită a proiectelor.</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3.7. Proiectele de Asistenţă Tehnică vor fi concentrate în domeniul consolidarea procesului de transformare politică si economică.</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3.8. Guvernul Principatului Liechtenstein va fi reprezentat în domeniul Asistenţei Tehnice de Serviciul de Dezvoltare din Liechtenstein (SDL).</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Articolul 4</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Condiţiile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4.1. Partea Moldavă va îndeplini procedurile necesare pentru deschiderea şi funcţionarea unui oficiu (SDL) în Chişinău.</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4.2. Pentru a facilita implementarea proiectelor de cooperare, Partea Moldavă va scuti de impozite, taxe şi alte plăţi obligatorii echipamentul, serviciile, vehiculele, materialele finanţate în bază de grant de Liechtenstein. Importul temporar al echipamentului pentru necesităţile implementării proiectelor în cadrul acestui Acord şi reexportul acestuia se va permite de către partea Moldavă în baza condiţiilor stipulate în legislaţia naţională în vigoare.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4.3. Partea Moldavă va elibera permisele necesare pentru importul temporar al echipamentului necesar pentru implementarea proiectelor în cadrul acestui Acord.</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4.4. Partea Moldavă acceptă ca în ceea ce priveşte procedurile de plată, ce ţin de proiectele de asistenţă tehnică şi umanitară, instituţiile financiare vor deschide implementatorilor acestor proiecte conturi în valută străină şi în monedă naţională, precum şi vor efectua operaţiuni în aceste conturi în conformitate cu prevederile legislaţiei în vigoare a Republicii Moldova.</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4.5. Reprezentanţii SDL, experţii străini, personalul împuternicit pentru implementarea proiectelor în cadrul acestui Acord şi familiile lor vor fi scutiţi de orice taxe pe venit, cît şi de impozite, taxe şi alte plăţi obligatorii pentru toate bunurile personale. Ei vor avea autorizaţia să importe şi să reexporte bunurile personale (bunuri casnice, maşini şi echipament, inclusiv profesional şi personal) la sfîrşitul misiunii lor. Partea Moldavă va oferi în mod gratuit experţilor străini, personalului şi familiilor lor documente, reşedinţă şi permise de muncă conform legislaţiei interne.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4.6. Partea Moldavă va fi responsabilă de securitatea reprezentanţilor, experţilor străini şi personalului cît şi a familiilor lor şi le va acorda facilităţi de repatriere.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4.7. Partea Moldavă va elibera gratuit şi fără întîrziere viza de intrare pentru categoria de persoane menţionate în articolul 4.5.</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4.8. Partea Moldavă va oferi asistenţă experţilor străini si personalului în implementarea sarcinilor lor şi le va oferi toată documentaţia şi informaţia necesară.</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4.9. Partea Moldavă va facilita procedura de transfer internaţional în valută străină iniţiată de proiect şi de experţii străini.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4.10. Implementarea acestor clauze va fi asigurată de către Ministerul Economiei şi Comerţului.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4.11. Reprezentanţii SDL, experţii străini, personalul şi familiile lor, trimişi în Republica Moldova să implementeze proiecte în cadrul acestui Acord, vor respecta legile şi regulamentele interne şi nu vor interveni în afacerile interne ale ţării.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Articolul 5</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lastRenderedPageBreak/>
        <w:t>Clauza Anticorupţie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Părţile Contractante împărtăşesc o preocupare comună privind lupta împotriva corupţiei ce subminează buna guvernare şi duce la irosirea resurselor necesare pentru dezvoltare şi, mai presus de toate, periclitează competiţia bazată pe preţ şi calitate. Ca urmare, ele declară că îşi vor uni eforturile în combaterea corupţiei şi declară în particular că orice cadou, plată, remunerare sau beneficiu de orice fel, care ar putea fi considerate ilegale şi rezultate din corupţie, nu au avut şi nu vor avea loc, direct sau indirect oricărei persoane ca mulţumire pentru executarea prezentului Acord. Orice act de acest fel constituie un motiv suficient să justifice anularea prezentului Acord, procurărilor sau beneficiului obţinut sau pentru a lua orice alte măsuri corective în conformitate cu legislaţia în vigoare.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Articolul 6</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Scopul şi Aplicarea</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Prevederile acestui Acord se aplică asupra:</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a) proiectelor convenite intre Guvernul Republicii Moldova sau/şi autorităţile municipale, regionale sau centrale de pe teritoriul Republicii Moldova, pe de o parte, şi între Guvernul Principatului Liechtenstein (prin Serviciul de Dezvoltare Liechtenstein, SDL), pe de altă parte;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xml:space="preserve">b) proiectelor convenite între Guvernul Principatului Liechtenstein (prin Serviciul de Dezvoltare Liechtenstein, SDL) şi organizaţii sau instituţii din Republica Moldova, asupra cărora cele două părţi sau reprezentanţii autorizaţi ai acestora au convenit să aplice </w:t>
      </w:r>
      <w:r>
        <w:rPr>
          <w:rFonts w:ascii="Arial" w:hAnsi="Arial" w:cs="Arial"/>
          <w:i/>
          <w:iCs/>
        </w:rPr>
        <w:t>mutatis mutandis</w:t>
      </w:r>
      <w:r>
        <w:rPr>
          <w:rFonts w:ascii="Arial" w:hAnsi="Arial" w:cs="Arial"/>
        </w:rPr>
        <w:t xml:space="preserve"> prevederile articolului 4;</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xml:space="preserve">c) proiectelor încheiate cu corporaţiile sau instituţiile publice sau private din altă ţară, asupra cărora Părţile sau reprezentanţii autorizaţi ai acestora au convenit de comun acord să aplice </w:t>
      </w:r>
      <w:r>
        <w:rPr>
          <w:rFonts w:ascii="Arial" w:hAnsi="Arial" w:cs="Arial"/>
          <w:i/>
          <w:iCs/>
        </w:rPr>
        <w:t>mutatis mutandis</w:t>
      </w:r>
      <w:r>
        <w:rPr>
          <w:rFonts w:ascii="Arial" w:hAnsi="Arial" w:cs="Arial"/>
        </w:rPr>
        <w:t xml:space="preserve"> prevederile articolului 4;</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d) acest Acord de asemenea se aplică asupra proiectelor finanţate prin intermediul SDL în derulare sau a celor ce se aflau la etapa de pregătire pînă la intrarea în vigoare a prezentului Acord.</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Articolul 7</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Coordonarea şi Procedurile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7.1. Fiecare proiect implementat în cadrul prezentului Acord va fi obiectul unui acord aparte dintre partenerii proiectului ce va stipula şi defini în detalii drepturile şi obligaţiile suportate de fiecare dintre partenerii proiectului.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7.2. În scopul evitării dublării şi suprapunerii cu proiectele implementate de alţi donatori, precum şi asigurării unei eficiente maxime ale proiectelor implementate, Părţile vor furniza şi tace schimb de informaţie necesară pentru coordonarea eficientă a asistenţei acordate.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7.3. Din partea Republicii Moldova, coordonarea va fi asigurată de către Agenţia rezerve materiale, achiziţii publice şi ajutor umanitar şi Ministerul Economici şi Comerţului.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7.4. Din partea Principatului Liechtenstein, coordonarea va fi asigurată de către Serviciul de Dezvoltare Liechtenstein, SDL. Oficiul SDL din Chişinău va fi canalul de legătură cu autorităţile moldoveneşti pentru implementarea şi monitorizarea proiectelor.</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Articolul 8</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Durata</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8.1. Acest Acord va intra în vigoare la data în care fiecare Parte va fi notificată despre îndeplinirea cerinţelor constituţionale privind încheierea şi intrarea în vigoare a acordurilor internaţionale.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xml:space="preserve">Acordul va rămîne în vigoare pe o perioadă de 5 ani, dacă nici una dintre Părţi timp de 5 ani, în afara cazului cînd Părţile anunţă, în scris, cu cel puţin 6 luni pînă la data terminării perioadei respective despre intenţia de a-l denunţa. La data expirării termenului de 5 ani al prezentului Acord, acţiunea lui va fi prelungită în fiecare an încă pentru un an, </w:t>
      </w:r>
      <w:r>
        <w:rPr>
          <w:rFonts w:ascii="Arial" w:hAnsi="Arial" w:cs="Arial"/>
        </w:rPr>
        <w:lastRenderedPageBreak/>
        <w:t>în mod automat, dacă nici una dintre Părţi nu-l denunţă, în scris, cu 6 luni înaintea expirării lui.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8.2. În cazul încetării acţiunii lui, prevederile prezentului Acord vor continua să fie aplicate asupra tuturor proiectelor, care au fost semnale înainte de aceasta.</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8.3. Acest Acord este aplicabil asupra contractelor încheiate între cele două Părţi, referitoare la proiectele în curs de derulare sau/şi acele proiecte care au fost pregătite înaintea intrării în vigoare a Acordului.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8.4. Dacă elementele esenţiale, care sînt stipulate în articolul 1, nu sînt respectate, fiecare sau ambele părţi pot lua măsurile necesare. Înainte de a face aceasta, excepţie fiind cazurile speciale urgente, Partea care întreprinde aceste măsuri, va acorda celeilalte Părţi toată informaţia necesară pentru examinarea minuţioasă a situaţiei şi găsirea unei soluţii.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În selectarea măsurilor, prioritate trebuie să fie acordată acelor măsuri care vor afecta în cea mai mică măsură funcţionarea prezentului Acord. Aceste măsuri vor fi notificate imediat celeilalte Părţi.</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Articolul 9</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Modificarea şi soluţionarea disputelor</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9.1. Orice modificare sau amendament la prezentul Acord va fi efectuat în scris prin consimţămîntul ambelor Părţi. Modificările la prezentul Acord vor intra în vigoare în conformitate cu procedura de intrare în vigoare a Acordului propriu-zis.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9.2. Orice dispută apărută în conexiune cu prezentul Acord va fi soluţionată prin negocieri diplomatice.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i/>
          <w:iCs/>
        </w:rPr>
        <w:t>Semnat</w:t>
      </w:r>
      <w:r>
        <w:rPr>
          <w:rFonts w:ascii="Arial" w:hAnsi="Arial" w:cs="Arial"/>
        </w:rPr>
        <w:t xml:space="preserve"> la Bruxelles la 5 septembrie 2007, în două exemplare originale, fiecare în limbile moldovenească şi engleză, ambele texte fiind egal autentice. În caz de divergenţe de interpretare, textul în limba engleză va prevala.</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AGREEMENT</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between the Government of the Republic of Moldova and the</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Government of the Principality of Liechtenstein concerning</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Humanitarian Assistance and Technical Cooperation</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xml:space="preserve">The Government of the Republic of Moldova and the Government of the Principality of Liechtenstein, hereafter the </w:t>
      </w:r>
      <w:r>
        <w:rPr>
          <w:rFonts w:ascii="Arial" w:hAnsi="Arial" w:cs="Arial"/>
          <w:i/>
          <w:iCs/>
        </w:rPr>
        <w:t>Parties'.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i/>
          <w:iCs/>
        </w:rPr>
        <w:t>intending</w:t>
      </w:r>
      <w:r>
        <w:rPr>
          <w:rFonts w:ascii="Arial" w:hAnsi="Arial" w:cs="Arial"/>
        </w:rPr>
        <w:t xml:space="preserve"> to reinforce the ties of friendship between the two countries,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i/>
          <w:iCs/>
        </w:rPr>
        <w:t>desirous</w:t>
      </w:r>
      <w:r>
        <w:rPr>
          <w:rFonts w:ascii="Arial" w:hAnsi="Arial" w:cs="Arial"/>
        </w:rPr>
        <w:t xml:space="preserve"> of strengthening these relations and of developing a fruitful humanitarian and technical cooperation between the two countries.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i/>
          <w:iCs/>
        </w:rPr>
        <w:t>recognizing</w:t>
      </w:r>
      <w:r>
        <w:rPr>
          <w:rFonts w:ascii="Arial" w:hAnsi="Arial" w:cs="Arial"/>
        </w:rPr>
        <w:t xml:space="preserve"> that the development of this technical cooperation will contribute to an improvement of social and economic conditions in the Republic of Moldova in order to promote further the development of market economy and democracy,</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i/>
          <w:iCs/>
        </w:rPr>
        <w:t>aware</w:t>
      </w:r>
      <w:r>
        <w:rPr>
          <w:rFonts w:ascii="Arial" w:hAnsi="Arial" w:cs="Arial"/>
        </w:rPr>
        <w:t xml:space="preserve"> that the Government of the Republic of Moldova is committed to pursue the reform in order to establish a market economy under democratic conditions,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i/>
          <w:iCs/>
        </w:rPr>
        <w:t>have agreed as follows</w:t>
      </w:r>
      <w:r>
        <w:rPr>
          <w:rFonts w:ascii="Arial" w:hAnsi="Arial" w:cs="Arial"/>
        </w:rPr>
        <w:t>:</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Article 1</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Basis of Cooperation</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Respect of human rights and democratic principles is an essential element of this Agreement and constitutes the basis of cooperation between the Parties.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Article 2</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Objectives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lastRenderedPageBreak/>
        <w:t>2.1. The Parties will promote, within the framework of their respective national legislation, the realization of humanitarian and technical assistance projects in the Republic of Moldova. These projects shall contribute to support the reform process in the Republic of Moldova and to mitigate the social and economic costs of adjustment. Projects shall also contribute to alleviate hardship of vulnerable segments of the Moldavian society.</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2.2. The objective of this Agreement is to establish a frame work of rules and procedures for the conduct and implementation of these projects.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Article 3</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Forms of Cooperation</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3.1. The cooperation can take the form of Humanitarian Assistance or Technical Assistance.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3.2. Such cooperation may be carried out on a bilateral basis or in cooperation with other donors or multilateral organizations.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b/>
          <w:bCs/>
        </w:rPr>
        <w:t>Humanitarian Assistance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3.3. Humanitarian Assistance to the Moldovan Party will be carried out by the Liechtenstein Party in form of goods, services, experts and/or financial contribution.</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3.4. Humanitarian Assistance projects will be related to the consolidation of the political and economical transformation process.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3.5. In the field of Humanitarian Assistance Liechtenstein will be represented by the Liechtenstein Development Service (LED).</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b/>
          <w:bCs/>
        </w:rPr>
        <w:t>Technical Assistance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3.6. Technical Assistance to the Moldovan Party will be carried out by the Liechtenstein Party in form of know-how transfer and consulting and in form of services as well as related equipment and materials necessary for the successful implementation of the projects.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3.7. The projects carried out in form of Technical Assistance will be related to the consolidation of the political and economic transformation process.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3.8. In the field of Technical Assistance Liechtenstein will be represented by the Liechtenstein Development Service (LED).</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Article 4</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Conditions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4.1. The Moldovan Party shall undertake the official recognition procedures for the establishment and operation of an LED Office in Chisinau.</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4.2. In order to facilitate the implementation of any projects of cooperation, the Moldovan Party shall exempt all equipment, services, vehicles and material financed on grant basis by the Liechtenstein Party and equipment temporarily imported for the needs of the project implementation within the scope of this Agreement from taxes, fees and other obligatory charges and shall authorize their re-exportation according to the national Moldovan legislation in force.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4.3. The Moldovan Party shall grant the permits necessary for the temporary importation of the equipment required to implement the projects within the scope of this Agreement.</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4.4. With reference to the payment procedures on technical and humanitarian assistance, the Moldovan party accepts that both accounts in foreign and national currencies be opened by financial institutions for the executors of these projects as well as transactions in these accounts be performed according to the legislation in force of the Republic of Moldova.</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xml:space="preserve">4.5. Representatives of the LED, foreign experts and personnel commissioned for the implementation of the projects within the scope of this Agreement and their families shall be exempted of any income and property taxes as well as any taxes, fees and other obligatory charges applicable to any personal belongings. They will be authorized to import and re-export their personal belongings (household goods, car and equipment </w:t>
      </w:r>
      <w:r>
        <w:rPr>
          <w:rFonts w:ascii="Arial" w:hAnsi="Arial" w:cs="Arial"/>
        </w:rPr>
        <w:lastRenderedPageBreak/>
        <w:t>including professional and personal equipment) at the end of their assignment. The Moldovan Party shall provide free of charge the foreign experts and personnel and their families with all residential documents and work-permits, which might be legally required.</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4.6. The Moldovan Party shall be responsible for the security of the representatives, the foreign experts and personnel as well as their families and shall accord them repatriation facilities.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4.7. The Moldovan Party shall issue free of charge and without delay the entry visas for the category of persons mentioned in article 4.5.</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4.8. The Moldovan Party shall assist the foreign experts and personnel to implement their tasks and provide them with all the necessary documentation and information.</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4.9. The Moldovan Party shall facilitate the procedure related to international transfers of foreign currency initiated by projects and by foreign experts.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4.10. The implementation of these provisions will be ensured by the Ministry of Economy and Trade of the Republic of Moldova.</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4.11. The representatives of LED, foreign experts, personnel and their families sent to the Republic of Moldova to implement projects within the scope of this agreement shall respect the internal laws and regulations of the Republic of Moldova and shall not interfere in internal affairs of the country.</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Article 5</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Anti-Corruption Clause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The contracting parties share a common concern in the fight against corruption, which jeopardizes good governance and the proper use of resources needed for development, and, in addition, endangers fair and open competition based on price and quality. They declare, therefore, their intention of combining their efforts to fight corruption and, in particular, declare that any offer, gift, payment, remuneration or benefit of any kind whatsoever and considered as an illegal act or corrupt practice has not been nor will be made, directly or indirectly to any person whomsoever in view of the award of execution of the present Agreement. Any act of this kind constitutes sufficient ground to justify annulment of the present Agreement, the procurement or resulting award, or for taking any other corrective measures foreseen by applicable law.</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Article 6</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Scope and Application</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The provisions of this Agreement shall apply to:</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a) projects mutually agreed between the Government of the Principality of Liechtenstein (through the Liechtenstein Development Service, LED) on the one side and the Government of the Republic of Moldova or/and respective central, regional and municipal authorities within the territory of the Republic of Moldova on the other side: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b) projects agreed between the Government of the Principality of Liechtenstein (through LED) and organizations or institutions in the Republic of Moldova, upon which the two Parties or their authorized representatives have mutualIv agreed to applv mutatis mutandis the provisions of article 4;</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c) projects with corporations or institutions of public or private law of either country upon which the two Parties or their authorized representatives have mutually agreed to apply mutatis mutandis the provisions of article 4;</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d) this Agreement is also applicable to mutually agreed ongoing projects or projects under preparation before the entry into force of this Agreement.</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Article 7</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Coordination and Procedure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7.1. Each project shall on the basis of this Agreement be subject to a particular agreement between the partners of the project stipulating and defining in detail the rights and obligations to be borne by each partner of the project.</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lastRenderedPageBreak/>
        <w:t>7.2. In order to avoid duplication and overlapping with projects implemented by other donors and to make sure that projects have the greatest possible effect, the Parties shall provide and share any information needed for an effective coordination.</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7.3. On the Moldovan side, this coordination will be ensured by the relevant Department for the coordination of international technical assistance appointed by the Ministry of Economy.</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7.4. On the Liechtenstein side, this coordination will be ensured by the LED. The LED Office in Chisinau will be the liaison for the Moldovan authorities for implementation and monitoring of projects.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Article 8</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Duration</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8.1. This Agreement shall enter into force on the day when both Parties have notified each other that they have complied with the constitutional requirements for the conclusion and entry into force of international agreements.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The Agreement shall remain in force for 5 years unless either of the Parties notifies the other in writing at least 6 month before the end of the corresponding period about its intention to denounce it. On the expiry date of this 5 year term this Agreement shall be automatically renewed from year to year, unless terminated by any one of the Parties upon six months' prior written notice.</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8.2. In case of its termination, the provisions of this Agreement shall continue to apply to all projects, which have been agreed upon prior to its termination.</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8.3. This Agreement is applicable retroactively to the agreements agreed upon between the two parties concerning/applicable to on-going projects and/or to those projects under preparation before the entry into force of this Agreement.</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8.4. If the essential elements to which article 1 refers are not respected, either or both of the parties may take appropriate measures. Before doing so, save in cases of special urgency, the Party taking measures shall provide the other Party with all the information necessary for a thorough examination of the situation with a view to finding a solution.</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In the selection of measures, priority must be given to those which least disturb the functioning of this Agreement. Such measures shall be notified immediately to the other Party.</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Article 9</w:t>
      </w:r>
    </w:p>
    <w:p w:rsidR="005C5F78" w:rsidRDefault="005C5F78" w:rsidP="005C5F78">
      <w:pPr>
        <w:pStyle w:val="cb"/>
        <w:spacing w:before="0" w:beforeAutospacing="0" w:after="0" w:afterAutospacing="0"/>
        <w:jc w:val="center"/>
        <w:rPr>
          <w:rFonts w:ascii="Arial" w:hAnsi="Arial" w:cs="Arial"/>
          <w:b/>
          <w:bCs/>
        </w:rPr>
      </w:pPr>
      <w:r>
        <w:rPr>
          <w:rFonts w:ascii="Arial" w:hAnsi="Arial" w:cs="Arial"/>
          <w:b/>
          <w:bCs/>
        </w:rPr>
        <w:t>Modification and Disputes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9.1. Any modification or amendment to the present Agreement shall be made in writing with the consent of both Parties, The modifications to this Agreement will enter into force according to the procedures of entering into force of this Agreement.</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9.2. Any disputes arising out of the present Agreement shall be settled by diplomatic negotiations.</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i/>
          <w:iCs/>
        </w:rPr>
        <w:t>Signed</w:t>
      </w:r>
      <w:r>
        <w:rPr>
          <w:rFonts w:ascii="Arial" w:hAnsi="Arial" w:cs="Arial"/>
        </w:rPr>
        <w:t xml:space="preserve"> on 5 September 2007 in Brussels, two copies both in English and Moldovan languages. Both texts are equally autentic. In case of divergence of interpretation, the English text shall prevail.</w:t>
      </w:r>
    </w:p>
    <w:p w:rsidR="005C5F78" w:rsidRDefault="005C5F78" w:rsidP="005C5F78">
      <w:pPr>
        <w:pStyle w:val="NormalWeb"/>
        <w:spacing w:before="0" w:beforeAutospacing="0" w:after="0" w:afterAutospacing="0"/>
        <w:ind w:firstLine="567"/>
        <w:jc w:val="both"/>
        <w:rPr>
          <w:rFonts w:ascii="Arial" w:hAnsi="Arial" w:cs="Arial"/>
        </w:rPr>
      </w:pPr>
      <w:r>
        <w:rPr>
          <w:rFonts w:ascii="Arial" w:hAnsi="Arial" w:cs="Arial"/>
        </w:rPr>
        <w:t> </w:t>
      </w:r>
    </w:p>
    <w:p w:rsidR="00D71811" w:rsidRPr="005C5F78" w:rsidRDefault="00D71811">
      <w:pPr>
        <w:rPr>
          <w:lang w:val="ro-RO"/>
        </w:rPr>
      </w:pPr>
      <w:bookmarkStart w:id="0" w:name="_GoBack"/>
      <w:bookmarkEnd w:id="0"/>
    </w:p>
    <w:sectPr w:rsidR="00D71811" w:rsidRPr="005C5F78" w:rsidSect="00FC6CF4">
      <w:pgSz w:w="11906" w:h="16838"/>
      <w:pgMar w:top="1134" w:right="964" w:bottom="62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78"/>
    <w:rsid w:val="002878F1"/>
    <w:rsid w:val="002C0BD9"/>
    <w:rsid w:val="005B5C7B"/>
    <w:rsid w:val="005C5F78"/>
    <w:rsid w:val="00D71811"/>
    <w:rsid w:val="00FC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3E41E-DB8B-48C2-AF7D-724E9EF7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autoRedefine/>
    <w:uiPriority w:val="9"/>
    <w:qFormat/>
    <w:rsid w:val="005B5C7B"/>
    <w:pPr>
      <w:spacing w:beforeAutospacing="1" w:after="0" w:afterAutospacing="1" w:line="240" w:lineRule="auto"/>
      <w:ind w:firstLine="567"/>
      <w:contextualSpacing/>
      <w:outlineLvl w:val="2"/>
    </w:pPr>
    <w:rPr>
      <w:rFonts w:ascii="Times New Roman" w:eastAsia="Times New Roman" w:hAnsi="Times New Roman" w:cs="Times New Roman"/>
      <w:b/>
      <w:bCs/>
      <w:color w:val="2F5496" w:themeColor="accent5" w:themeShade="BF"/>
      <w:sz w:val="24"/>
      <w:szCs w:val="2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5C7B"/>
    <w:rPr>
      <w:rFonts w:ascii="Times New Roman" w:eastAsia="Times New Roman" w:hAnsi="Times New Roman" w:cs="Times New Roman"/>
      <w:b/>
      <w:bCs/>
      <w:color w:val="2F5496" w:themeColor="accent5" w:themeShade="BF"/>
      <w:sz w:val="24"/>
      <w:szCs w:val="27"/>
      <w:u w:val="single"/>
    </w:rPr>
  </w:style>
  <w:style w:type="paragraph" w:customStyle="1" w:styleId="ttsp">
    <w:name w:val="tt_sp"/>
    <w:basedOn w:val="Normal"/>
    <w:rsid w:val="005C5F7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5C5F7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emit">
    <w:name w:val="emit"/>
    <w:basedOn w:val="Normal"/>
    <w:rsid w:val="005C5F7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t">
    <w:name w:val="tt"/>
    <w:basedOn w:val="Normal"/>
    <w:rsid w:val="005C5F7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semiHidden/>
    <w:unhideWhenUsed/>
    <w:rsid w:val="005C5F7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pb">
    <w:name w:val="pb"/>
    <w:basedOn w:val="Normal"/>
    <w:rsid w:val="005C5F7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nt">
    <w:name w:val="nt"/>
    <w:basedOn w:val="Normal"/>
    <w:rsid w:val="005C5F7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5C5F78"/>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3216</Words>
  <Characters>18656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Gordienco</dc:creator>
  <cp:keywords/>
  <dc:description/>
  <cp:lastModifiedBy>Vlada, Gordienco</cp:lastModifiedBy>
  <cp:revision>1</cp:revision>
  <dcterms:created xsi:type="dcterms:W3CDTF">2021-11-02T12:42:00Z</dcterms:created>
  <dcterms:modified xsi:type="dcterms:W3CDTF">2021-11-02T12:42:00Z</dcterms:modified>
</cp:coreProperties>
</file>