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95A" w:rsidRPr="000F0506" w:rsidRDefault="0053395A" w:rsidP="00770456">
      <w:pPr>
        <w:spacing w:after="0"/>
        <w:ind w:firstLine="720"/>
        <w:rPr>
          <w:b/>
          <w:color w:val="4F81BD" w:themeColor="accent1"/>
          <w:sz w:val="24"/>
        </w:rPr>
      </w:pPr>
      <w:r w:rsidRPr="000F0506">
        <w:rPr>
          <w:b/>
          <w:color w:val="4F81BD" w:themeColor="accent1"/>
          <w:sz w:val="24"/>
        </w:rPr>
        <w:t xml:space="preserve"> Monitoring of </w:t>
      </w:r>
      <w:r w:rsidR="000F0506">
        <w:rPr>
          <w:b/>
          <w:color w:val="4F81BD" w:themeColor="accent1"/>
          <w:sz w:val="24"/>
        </w:rPr>
        <w:t xml:space="preserve">the </w:t>
      </w:r>
      <w:r w:rsidRPr="000F0506">
        <w:rPr>
          <w:b/>
          <w:color w:val="4F81BD" w:themeColor="accent1"/>
          <w:sz w:val="24"/>
        </w:rPr>
        <w:t>Global Partnership for Effective Development Cooperation</w:t>
      </w:r>
    </w:p>
    <w:p w:rsidR="0053395A" w:rsidRPr="000F0506" w:rsidRDefault="0053395A" w:rsidP="000F0506">
      <w:pPr>
        <w:spacing w:after="0"/>
        <w:jc w:val="center"/>
        <w:rPr>
          <w:b/>
          <w:color w:val="4F81BD" w:themeColor="accent1"/>
          <w:sz w:val="24"/>
        </w:rPr>
      </w:pPr>
      <w:r w:rsidRPr="000F0506">
        <w:rPr>
          <w:b/>
          <w:color w:val="4F81BD" w:themeColor="accent1"/>
          <w:sz w:val="24"/>
        </w:rPr>
        <w:t>Question</w:t>
      </w:r>
      <w:r w:rsidR="00606F98">
        <w:rPr>
          <w:b/>
          <w:color w:val="4F81BD" w:themeColor="accent1"/>
          <w:sz w:val="24"/>
        </w:rPr>
        <w:t>naire</w:t>
      </w:r>
      <w:r w:rsidRPr="000F0506">
        <w:rPr>
          <w:b/>
          <w:color w:val="4F81BD" w:themeColor="accent1"/>
          <w:sz w:val="24"/>
        </w:rPr>
        <w:t xml:space="preserve"> for Providers of Development Co-operation</w:t>
      </w:r>
      <w:r w:rsidR="00A72421" w:rsidRPr="000F0506">
        <w:rPr>
          <w:b/>
          <w:color w:val="4F81BD" w:themeColor="accent1"/>
          <w:sz w:val="24"/>
        </w:rPr>
        <w:t xml:space="preserve"> in Moldova</w:t>
      </w:r>
    </w:p>
    <w:p w:rsidR="00EC362D" w:rsidRDefault="00606F98" w:rsidP="00313151">
      <w:pPr>
        <w:pStyle w:val="Default"/>
        <w:spacing w:before="120"/>
        <w:jc w:val="both"/>
        <w:rPr>
          <w:rFonts w:asciiTheme="minorHAnsi" w:hAnsiTheme="minorHAnsi" w:cs="Tahoma"/>
          <w:b/>
          <w:sz w:val="22"/>
          <w:szCs w:val="22"/>
        </w:rPr>
      </w:pPr>
      <w:r w:rsidRPr="00606F98">
        <w:rPr>
          <w:rFonts w:asciiTheme="minorHAnsi" w:hAnsiTheme="minorHAnsi" w:cs="Tahoma"/>
          <w:b/>
          <w:sz w:val="22"/>
          <w:szCs w:val="22"/>
        </w:rPr>
        <w:t xml:space="preserve">Please return the completed questionnaire to </w:t>
      </w:r>
      <w:hyperlink r:id="rId9" w:history="1">
        <w:r w:rsidRPr="00606F98">
          <w:rPr>
            <w:rStyle w:val="Hyperlink"/>
            <w:rFonts w:asciiTheme="minorHAnsi" w:hAnsiTheme="minorHAnsi" w:cs="Tahoma"/>
            <w:b/>
            <w:sz w:val="22"/>
            <w:szCs w:val="22"/>
          </w:rPr>
          <w:t>lucretia.ciurea@gov.md</w:t>
        </w:r>
      </w:hyperlink>
      <w:r w:rsidRPr="00606F98">
        <w:rPr>
          <w:rFonts w:asciiTheme="minorHAnsi" w:hAnsiTheme="minorHAnsi" w:cs="Tahoma"/>
          <w:b/>
          <w:sz w:val="22"/>
          <w:szCs w:val="22"/>
        </w:rPr>
        <w:t xml:space="preserve"> </w:t>
      </w:r>
      <w:r w:rsidR="00770456">
        <w:rPr>
          <w:rFonts w:asciiTheme="minorHAnsi" w:hAnsiTheme="minorHAnsi" w:cs="Tahoma"/>
          <w:b/>
          <w:sz w:val="22"/>
          <w:szCs w:val="22"/>
        </w:rPr>
        <w:t xml:space="preserve">in copy to </w:t>
      </w:r>
      <w:hyperlink r:id="rId10" w:history="1">
        <w:r w:rsidR="006049D7" w:rsidRPr="009E5FD1">
          <w:rPr>
            <w:rStyle w:val="Hyperlink"/>
            <w:rFonts w:asciiTheme="minorHAnsi" w:hAnsiTheme="minorHAnsi" w:cs="Tahoma"/>
            <w:b/>
            <w:sz w:val="22"/>
            <w:szCs w:val="22"/>
          </w:rPr>
          <w:t>adrian.ermurachi@gov.md</w:t>
        </w:r>
      </w:hyperlink>
      <w:r w:rsidR="006049D7">
        <w:rPr>
          <w:rFonts w:asciiTheme="minorHAnsi" w:hAnsiTheme="minorHAnsi" w:cs="Tahoma"/>
          <w:b/>
          <w:sz w:val="22"/>
          <w:szCs w:val="22"/>
        </w:rPr>
        <w:t xml:space="preserve"> </w:t>
      </w:r>
      <w:r w:rsidRPr="00606F98">
        <w:rPr>
          <w:rFonts w:asciiTheme="minorHAnsi" w:hAnsiTheme="minorHAnsi" w:cs="Tahoma"/>
          <w:b/>
          <w:sz w:val="22"/>
          <w:szCs w:val="22"/>
        </w:rPr>
        <w:t xml:space="preserve">by </w:t>
      </w:r>
      <w:proofErr w:type="gramStart"/>
      <w:r w:rsidR="005D53B8">
        <w:rPr>
          <w:rFonts w:asciiTheme="minorHAnsi" w:hAnsiTheme="minorHAnsi" w:cs="Tahoma"/>
          <w:b/>
          <w:sz w:val="22"/>
          <w:szCs w:val="22"/>
        </w:rPr>
        <w:t>1</w:t>
      </w:r>
      <w:r w:rsidR="00320BFC" w:rsidRPr="00320BFC">
        <w:rPr>
          <w:rFonts w:asciiTheme="minorHAnsi" w:hAnsiTheme="minorHAnsi" w:cs="Tahoma"/>
          <w:b/>
          <w:sz w:val="22"/>
          <w:szCs w:val="22"/>
          <w:vertAlign w:val="superscript"/>
        </w:rPr>
        <w:t>st</w:t>
      </w:r>
      <w:r w:rsidR="00320BFC">
        <w:rPr>
          <w:rFonts w:asciiTheme="minorHAnsi" w:hAnsiTheme="minorHAnsi" w:cs="Tahoma"/>
          <w:b/>
          <w:sz w:val="22"/>
          <w:szCs w:val="22"/>
        </w:rPr>
        <w:t xml:space="preserve"> </w:t>
      </w:r>
      <w:r w:rsidR="00770456">
        <w:rPr>
          <w:rFonts w:asciiTheme="minorHAnsi" w:hAnsiTheme="minorHAnsi" w:cs="Tahoma"/>
          <w:b/>
          <w:sz w:val="22"/>
          <w:szCs w:val="22"/>
        </w:rPr>
        <w:t xml:space="preserve"> March</w:t>
      </w:r>
      <w:proofErr w:type="gramEnd"/>
      <w:r w:rsidR="004D71CB">
        <w:rPr>
          <w:rFonts w:asciiTheme="minorHAnsi" w:hAnsiTheme="minorHAnsi" w:cs="Tahoma"/>
          <w:b/>
          <w:sz w:val="22"/>
          <w:szCs w:val="22"/>
        </w:rPr>
        <w:t xml:space="preserve"> 201</w:t>
      </w:r>
      <w:r w:rsidR="005D53B8">
        <w:rPr>
          <w:rFonts w:asciiTheme="minorHAnsi" w:hAnsiTheme="minorHAnsi" w:cs="Tahoma"/>
          <w:b/>
          <w:sz w:val="22"/>
          <w:szCs w:val="22"/>
        </w:rPr>
        <w:t>5</w:t>
      </w:r>
      <w:r w:rsidRPr="00606F98">
        <w:rPr>
          <w:rFonts w:asciiTheme="minorHAnsi" w:hAnsiTheme="minorHAnsi" w:cs="Tahoma"/>
          <w:b/>
          <w:sz w:val="22"/>
          <w:szCs w:val="22"/>
        </w:rPr>
        <w:t xml:space="preserve">. </w:t>
      </w:r>
    </w:p>
    <w:p w:rsidR="00313151" w:rsidRPr="00313151" w:rsidRDefault="00313151" w:rsidP="00313151">
      <w:pPr>
        <w:pStyle w:val="Default"/>
        <w:spacing w:before="120"/>
        <w:jc w:val="both"/>
        <w:rPr>
          <w:rFonts w:asciiTheme="minorHAnsi" w:hAnsiTheme="minorHAnsi" w:cs="Tahoma"/>
          <w:b/>
          <w:sz w:val="10"/>
          <w:szCs w:val="22"/>
        </w:rPr>
      </w:pPr>
    </w:p>
    <w:p w:rsidR="00977C78" w:rsidRDefault="00977C78" w:rsidP="00977C78">
      <w:pPr>
        <w:pStyle w:val="Default"/>
        <w:spacing w:before="120"/>
        <w:rPr>
          <w:rFonts w:asciiTheme="minorHAnsi" w:hAnsiTheme="minorHAnsi" w:cs="Tahoma"/>
          <w:sz w:val="22"/>
          <w:szCs w:val="22"/>
        </w:rPr>
      </w:pPr>
      <w:r w:rsidRPr="00EC362D">
        <w:rPr>
          <w:rFonts w:asciiTheme="minorHAnsi" w:hAnsiTheme="minorHAnsi" w:cs="Tahoma"/>
          <w:sz w:val="22"/>
          <w:szCs w:val="22"/>
        </w:rPr>
        <w:t>Qp1. How much development cooperation funding did you disburse at country-level in</w:t>
      </w:r>
      <w:r>
        <w:rPr>
          <w:rFonts w:asciiTheme="minorHAnsi" w:hAnsiTheme="minorHAnsi" w:cs="Tahoma"/>
          <w:sz w:val="22"/>
          <w:szCs w:val="22"/>
        </w:rPr>
        <w:t xml:space="preserve"> 2013</w:t>
      </w:r>
      <w:r w:rsidRPr="00EC362D">
        <w:rPr>
          <w:rFonts w:asciiTheme="minorHAnsi" w:hAnsiTheme="minorHAnsi" w:cs="Tahoma"/>
          <w:sz w:val="22"/>
          <w:szCs w:val="22"/>
        </w:rPr>
        <w:t>?</w:t>
      </w:r>
      <w:r>
        <w:rPr>
          <w:rFonts w:asciiTheme="minorHAnsi" w:hAnsiTheme="minorHAnsi" w:cs="Tahoma"/>
          <w:sz w:val="22"/>
          <w:szCs w:val="22"/>
        </w:rPr>
        <w:t xml:space="preserve"> (Provided through the amp.gov.md)</w:t>
      </w:r>
    </w:p>
    <w:p w:rsidR="00977C78" w:rsidRPr="001E7864" w:rsidRDefault="00977C78" w:rsidP="00977C78">
      <w:pPr>
        <w:pStyle w:val="Default"/>
        <w:spacing w:before="120"/>
        <w:rPr>
          <w:rFonts w:asciiTheme="minorHAnsi" w:hAnsiTheme="minorHAnsi" w:cs="Tahoma"/>
          <w:b/>
          <w:sz w:val="22"/>
          <w:szCs w:val="22"/>
        </w:rPr>
      </w:pPr>
      <w:proofErr w:type="gramStart"/>
      <w:r w:rsidRPr="001E7864">
        <w:rPr>
          <w:rFonts w:asciiTheme="minorHAnsi" w:hAnsiTheme="minorHAnsi" w:cs="Tahoma"/>
          <w:b/>
          <w:sz w:val="22"/>
          <w:szCs w:val="22"/>
        </w:rPr>
        <w:t>USD  million</w:t>
      </w:r>
      <w:proofErr w:type="gramEnd"/>
      <w:r w:rsidRPr="001E7864">
        <w:rPr>
          <w:rFonts w:asciiTheme="minorHAnsi" w:hAnsiTheme="minorHAnsi" w:cs="Tahoma"/>
          <w:b/>
          <w:sz w:val="22"/>
          <w:szCs w:val="22"/>
        </w:rPr>
        <w:t xml:space="preserve"> </w:t>
      </w:r>
    </w:p>
    <w:p w:rsidR="00977C78" w:rsidRPr="00977C78" w:rsidRDefault="00977C78" w:rsidP="00977C78">
      <w:pPr>
        <w:pStyle w:val="Default"/>
        <w:spacing w:before="120"/>
        <w:rPr>
          <w:rFonts w:asciiTheme="minorHAnsi" w:hAnsiTheme="minorHAnsi" w:cs="Tahoma"/>
          <w:sz w:val="6"/>
          <w:szCs w:val="22"/>
        </w:rPr>
      </w:pPr>
    </w:p>
    <w:p w:rsidR="00977C78" w:rsidRPr="006049D7" w:rsidRDefault="00977C78" w:rsidP="00977C78">
      <w:pPr>
        <w:pStyle w:val="Default"/>
        <w:spacing w:before="120"/>
        <w:rPr>
          <w:rFonts w:asciiTheme="minorHAnsi" w:hAnsiTheme="minorHAnsi" w:cs="Tahoma"/>
          <w:sz w:val="22"/>
          <w:szCs w:val="22"/>
        </w:rPr>
      </w:pPr>
      <w:r w:rsidRPr="006049D7">
        <w:rPr>
          <w:rFonts w:asciiTheme="minorHAnsi" w:hAnsiTheme="minorHAnsi" w:cs="Tahoma"/>
          <w:sz w:val="22"/>
          <w:szCs w:val="22"/>
        </w:rPr>
        <w:t xml:space="preserve">Qp2.  How much of this was for the government sector? </w:t>
      </w:r>
    </w:p>
    <w:p w:rsidR="00977C78" w:rsidRPr="006049D7" w:rsidRDefault="00977C78" w:rsidP="00977C78">
      <w:pPr>
        <w:pStyle w:val="Default"/>
        <w:spacing w:before="120"/>
        <w:rPr>
          <w:rFonts w:asciiTheme="minorHAnsi" w:hAnsiTheme="minorHAnsi" w:cs="Tahoma"/>
          <w:b/>
          <w:sz w:val="22"/>
          <w:szCs w:val="22"/>
        </w:rPr>
      </w:pPr>
      <w:proofErr w:type="gramStart"/>
      <w:r w:rsidRPr="006049D7">
        <w:rPr>
          <w:rFonts w:asciiTheme="minorHAnsi" w:hAnsiTheme="minorHAnsi" w:cs="Tahoma"/>
          <w:b/>
          <w:sz w:val="22"/>
          <w:szCs w:val="22"/>
        </w:rPr>
        <w:t>USD  million</w:t>
      </w:r>
      <w:proofErr w:type="gramEnd"/>
    </w:p>
    <w:p w:rsidR="00770456" w:rsidRPr="00977C78" w:rsidRDefault="00770456" w:rsidP="00EC362D">
      <w:pPr>
        <w:pStyle w:val="Default"/>
        <w:spacing w:before="120"/>
        <w:rPr>
          <w:rFonts w:asciiTheme="minorHAnsi" w:hAnsiTheme="minorHAnsi" w:cs="Tahoma"/>
          <w:sz w:val="6"/>
          <w:szCs w:val="22"/>
        </w:rPr>
      </w:pPr>
    </w:p>
    <w:p w:rsidR="001E7864" w:rsidRDefault="00EC362D" w:rsidP="00EC362D">
      <w:pPr>
        <w:pStyle w:val="Default"/>
        <w:spacing w:before="120"/>
        <w:rPr>
          <w:rFonts w:asciiTheme="minorHAnsi" w:hAnsiTheme="minorHAnsi" w:cs="Tahoma"/>
          <w:sz w:val="22"/>
          <w:szCs w:val="22"/>
        </w:rPr>
      </w:pPr>
      <w:r w:rsidRPr="006049D7">
        <w:rPr>
          <w:rFonts w:asciiTheme="minorHAnsi" w:hAnsiTheme="minorHAnsi" w:cs="Tahoma"/>
          <w:sz w:val="22"/>
          <w:szCs w:val="22"/>
        </w:rPr>
        <w:t>Qp</w:t>
      </w:r>
      <w:r w:rsidRPr="006049D7">
        <w:rPr>
          <w:rFonts w:asciiTheme="minorHAnsi" w:hAnsiTheme="minorHAnsi"/>
          <w:sz w:val="22"/>
          <w:szCs w:val="22"/>
        </w:rPr>
        <w:t xml:space="preserve">3. </w:t>
      </w:r>
      <w:r w:rsidRPr="006049D7">
        <w:rPr>
          <w:rFonts w:asciiTheme="minorHAnsi" w:hAnsiTheme="minorHAnsi" w:cs="Tahoma"/>
          <w:sz w:val="22"/>
          <w:szCs w:val="22"/>
        </w:rPr>
        <w:t>How much development co-operation funding for the government sector did you schedule</w:t>
      </w:r>
      <w:r w:rsidRPr="00EC362D">
        <w:rPr>
          <w:rFonts w:asciiTheme="minorHAnsi" w:hAnsiTheme="minorHAnsi" w:cs="Tahoma"/>
          <w:sz w:val="22"/>
          <w:szCs w:val="22"/>
        </w:rPr>
        <w:t xml:space="preserve"> for di</w:t>
      </w:r>
      <w:r>
        <w:rPr>
          <w:rFonts w:asciiTheme="minorHAnsi" w:hAnsiTheme="minorHAnsi" w:cs="Tahoma"/>
          <w:sz w:val="22"/>
          <w:szCs w:val="22"/>
        </w:rPr>
        <w:t>sbursement at country-level in 201</w:t>
      </w:r>
      <w:r w:rsidR="005D53B8">
        <w:rPr>
          <w:rFonts w:asciiTheme="minorHAnsi" w:hAnsiTheme="minorHAnsi" w:cs="Tahoma"/>
          <w:sz w:val="22"/>
          <w:szCs w:val="22"/>
        </w:rPr>
        <w:t>4</w:t>
      </w:r>
      <w:r>
        <w:rPr>
          <w:rFonts w:asciiTheme="minorHAnsi" w:hAnsiTheme="minorHAnsi" w:cs="Tahoma"/>
          <w:sz w:val="22"/>
          <w:szCs w:val="22"/>
        </w:rPr>
        <w:t>?</w:t>
      </w:r>
      <w:r w:rsidR="00A72421">
        <w:rPr>
          <w:rFonts w:asciiTheme="minorHAnsi" w:hAnsiTheme="minorHAnsi" w:cs="Tahoma"/>
          <w:sz w:val="22"/>
          <w:szCs w:val="22"/>
        </w:rPr>
        <w:t xml:space="preserve"> </w:t>
      </w:r>
    </w:p>
    <w:p w:rsidR="00977C78" w:rsidRPr="00977C78" w:rsidRDefault="00313151" w:rsidP="00A72421">
      <w:pPr>
        <w:pStyle w:val="Default"/>
        <w:spacing w:before="120"/>
        <w:rPr>
          <w:rFonts w:asciiTheme="minorHAnsi" w:hAnsiTheme="minorHAnsi" w:cs="Tahoma"/>
          <w:b/>
          <w:sz w:val="22"/>
          <w:szCs w:val="22"/>
        </w:rPr>
      </w:pPr>
      <w:proofErr w:type="gramStart"/>
      <w:r>
        <w:rPr>
          <w:rFonts w:asciiTheme="minorHAnsi" w:hAnsiTheme="minorHAnsi" w:cs="Tahoma"/>
          <w:b/>
          <w:sz w:val="22"/>
          <w:szCs w:val="22"/>
        </w:rPr>
        <w:t>USD</w:t>
      </w:r>
      <w:r w:rsidR="00EC362D" w:rsidRPr="001E7864">
        <w:rPr>
          <w:rFonts w:asciiTheme="minorHAnsi" w:hAnsiTheme="minorHAnsi" w:cs="Tahoma"/>
          <w:b/>
          <w:sz w:val="22"/>
          <w:szCs w:val="22"/>
        </w:rPr>
        <w:t xml:space="preserve"> </w:t>
      </w:r>
      <w:r w:rsidR="001E7864" w:rsidRPr="001E7864">
        <w:rPr>
          <w:rFonts w:asciiTheme="minorHAnsi" w:hAnsiTheme="minorHAnsi" w:cs="Tahoma"/>
          <w:b/>
          <w:sz w:val="22"/>
          <w:szCs w:val="22"/>
        </w:rPr>
        <w:t xml:space="preserve"> million</w:t>
      </w:r>
      <w:bookmarkStart w:id="0" w:name="_GoBack"/>
      <w:bookmarkEnd w:id="0"/>
      <w:proofErr w:type="gramEnd"/>
    </w:p>
    <w:p w:rsidR="001E7864" w:rsidRDefault="00EC362D" w:rsidP="00A72421">
      <w:pPr>
        <w:pStyle w:val="Default"/>
        <w:spacing w:before="120"/>
        <w:rPr>
          <w:rFonts w:asciiTheme="minorHAnsi" w:hAnsiTheme="minorHAnsi" w:cs="Tahoma"/>
          <w:sz w:val="22"/>
          <w:szCs w:val="22"/>
        </w:rPr>
      </w:pPr>
      <w:r>
        <w:rPr>
          <w:rFonts w:asciiTheme="minorHAnsi" w:hAnsiTheme="minorHAnsi"/>
          <w:sz w:val="22"/>
          <w:szCs w:val="22"/>
        </w:rPr>
        <w:t>Qp4.</w:t>
      </w:r>
      <w:r w:rsidRPr="00EC362D">
        <w:rPr>
          <w:rFonts w:asciiTheme="minorHAnsi" w:hAnsiTheme="minorHAnsi"/>
          <w:sz w:val="22"/>
          <w:szCs w:val="22"/>
        </w:rPr>
        <w:t xml:space="preserve"> </w:t>
      </w:r>
      <w:r w:rsidRPr="00EC362D">
        <w:rPr>
          <w:rFonts w:asciiTheme="minorHAnsi" w:hAnsiTheme="minorHAnsi" w:cs="Tahoma"/>
          <w:sz w:val="22"/>
          <w:szCs w:val="22"/>
        </w:rPr>
        <w:t>For reference purposes only, how much development co-operation funding for the government sector did you disburse through other providers (funds which are not captured in your responses to Qd1 – Qd3 above) at the country level in</w:t>
      </w:r>
      <w:r>
        <w:rPr>
          <w:rFonts w:asciiTheme="minorHAnsi" w:hAnsiTheme="minorHAnsi" w:cs="Tahoma"/>
          <w:sz w:val="22"/>
          <w:szCs w:val="22"/>
        </w:rPr>
        <w:t xml:space="preserve"> 201</w:t>
      </w:r>
      <w:r w:rsidR="005D53B8">
        <w:rPr>
          <w:rFonts w:asciiTheme="minorHAnsi" w:hAnsiTheme="minorHAnsi" w:cs="Tahoma"/>
          <w:sz w:val="22"/>
          <w:szCs w:val="22"/>
        </w:rPr>
        <w:t>4</w:t>
      </w:r>
      <w:r>
        <w:rPr>
          <w:rFonts w:asciiTheme="minorHAnsi" w:hAnsiTheme="minorHAnsi" w:cs="Tahoma"/>
          <w:sz w:val="22"/>
          <w:szCs w:val="22"/>
        </w:rPr>
        <w:t>?</w:t>
      </w:r>
      <w:r w:rsidR="00A72421">
        <w:rPr>
          <w:rFonts w:asciiTheme="minorHAnsi" w:hAnsiTheme="minorHAnsi" w:cs="Tahoma"/>
          <w:sz w:val="22"/>
          <w:szCs w:val="22"/>
        </w:rPr>
        <w:t xml:space="preserve"> </w:t>
      </w:r>
    </w:p>
    <w:p w:rsidR="0053395A" w:rsidRPr="001E7864" w:rsidRDefault="005D53B8" w:rsidP="00A72421">
      <w:pPr>
        <w:pStyle w:val="Default"/>
        <w:spacing w:before="120"/>
        <w:rPr>
          <w:rFonts w:asciiTheme="minorHAnsi" w:hAnsiTheme="minorHAnsi" w:cs="Tahoma"/>
          <w:b/>
          <w:sz w:val="22"/>
          <w:szCs w:val="22"/>
        </w:rPr>
      </w:pPr>
      <w:proofErr w:type="gramStart"/>
      <w:r>
        <w:rPr>
          <w:rFonts w:asciiTheme="minorHAnsi" w:hAnsiTheme="minorHAnsi" w:cs="Tahoma"/>
          <w:b/>
          <w:sz w:val="22"/>
          <w:szCs w:val="22"/>
        </w:rPr>
        <w:t>EUR</w:t>
      </w:r>
      <w:r w:rsidR="00EC362D" w:rsidRPr="001E7864">
        <w:rPr>
          <w:rFonts w:asciiTheme="minorHAnsi" w:hAnsiTheme="minorHAnsi" w:cs="Tahoma"/>
          <w:b/>
          <w:sz w:val="22"/>
          <w:szCs w:val="22"/>
        </w:rPr>
        <w:t xml:space="preserve"> </w:t>
      </w:r>
      <w:r w:rsidR="006878A1">
        <w:rPr>
          <w:rFonts w:asciiTheme="minorHAnsi" w:hAnsiTheme="minorHAnsi" w:cs="Tahoma"/>
          <w:b/>
          <w:sz w:val="22"/>
          <w:szCs w:val="22"/>
        </w:rPr>
        <w:t xml:space="preserve"> million</w:t>
      </w:r>
      <w:proofErr w:type="gramEnd"/>
    </w:p>
    <w:p w:rsidR="00EC362D" w:rsidRPr="00977C78" w:rsidRDefault="00EC362D" w:rsidP="00EC362D">
      <w:pPr>
        <w:spacing w:before="120" w:after="0" w:line="240" w:lineRule="auto"/>
        <w:rPr>
          <w:sz w:val="4"/>
        </w:rPr>
      </w:pPr>
    </w:p>
    <w:p w:rsidR="00CE6856" w:rsidRPr="00CE6856" w:rsidRDefault="00CE6856" w:rsidP="00EC362D">
      <w:pPr>
        <w:spacing w:before="120" w:after="0" w:line="240" w:lineRule="auto"/>
      </w:pPr>
      <w:r w:rsidRPr="00CE6856">
        <w:t xml:space="preserve">In </w:t>
      </w:r>
      <w:r w:rsidR="00EC362D">
        <w:t>201</w:t>
      </w:r>
      <w:r w:rsidR="001F0CEB">
        <w:t>4</w:t>
      </w:r>
      <w:r w:rsidRPr="00CE6856">
        <w:t>, how much development co-operation funding disbursed for the government sector used…</w:t>
      </w:r>
    </w:p>
    <w:p w:rsidR="008E0A6D" w:rsidRDefault="00CE6856" w:rsidP="00EC362D">
      <w:pPr>
        <w:spacing w:before="120" w:after="0" w:line="240" w:lineRule="auto"/>
      </w:pPr>
      <w:proofErr w:type="gramStart"/>
      <w:r w:rsidRPr="00CE6856">
        <w:t>Qp5. …national</w:t>
      </w:r>
      <w:proofErr w:type="gramEnd"/>
      <w:r w:rsidRPr="00CE6856">
        <w:t xml:space="preserve"> budget execution procedures? </w:t>
      </w:r>
      <w:r w:rsidR="00EC362D">
        <w:t xml:space="preserve"> </w:t>
      </w:r>
      <w:r w:rsidR="00313151">
        <w:rPr>
          <w:b/>
        </w:rPr>
        <w:t>USD</w:t>
      </w:r>
      <w:r w:rsidR="008E0A6D" w:rsidRPr="008E0A6D">
        <w:rPr>
          <w:b/>
        </w:rPr>
        <w:t xml:space="preserve"> </w:t>
      </w:r>
    </w:p>
    <w:p w:rsidR="00CE6856" w:rsidRPr="00CE6856" w:rsidRDefault="00CE6856" w:rsidP="00EC362D">
      <w:pPr>
        <w:spacing w:before="120" w:after="0" w:line="240" w:lineRule="auto"/>
      </w:pPr>
      <w:proofErr w:type="gramStart"/>
      <w:r w:rsidRPr="00CE6856">
        <w:t>Qp6. …national</w:t>
      </w:r>
      <w:proofErr w:type="gramEnd"/>
      <w:r w:rsidRPr="00CE6856">
        <w:t xml:space="preserve"> </w:t>
      </w:r>
      <w:r w:rsidR="00EC362D">
        <w:t xml:space="preserve">financial reporting procedures? </w:t>
      </w:r>
      <w:r w:rsidR="00313151">
        <w:rPr>
          <w:b/>
        </w:rPr>
        <w:t>USD</w:t>
      </w:r>
    </w:p>
    <w:p w:rsidR="00CE6856" w:rsidRPr="00313151" w:rsidRDefault="00CE6856" w:rsidP="00EC362D">
      <w:pPr>
        <w:spacing w:before="120" w:after="0" w:line="240" w:lineRule="auto"/>
      </w:pPr>
      <w:proofErr w:type="gramStart"/>
      <w:r w:rsidRPr="00CE6856">
        <w:t>Qp7. …na</w:t>
      </w:r>
      <w:r w:rsidR="00EC362D">
        <w:t>tional</w:t>
      </w:r>
      <w:proofErr w:type="gramEnd"/>
      <w:r w:rsidR="00EC362D">
        <w:t xml:space="preserve"> auditing procedures</w:t>
      </w:r>
      <w:r w:rsidR="00EC362D" w:rsidRPr="00CE6856">
        <w:t>?</w:t>
      </w:r>
      <w:r w:rsidR="00EC362D">
        <w:t xml:space="preserve"> </w:t>
      </w:r>
      <w:r w:rsidR="00313151" w:rsidRPr="00313151">
        <w:rPr>
          <w:b/>
        </w:rPr>
        <w:t>U</w:t>
      </w:r>
      <w:r w:rsidR="00313151">
        <w:rPr>
          <w:b/>
        </w:rPr>
        <w:t>SD</w:t>
      </w:r>
    </w:p>
    <w:p w:rsidR="0053395A" w:rsidRPr="00313151" w:rsidRDefault="00CE6856" w:rsidP="00EC362D">
      <w:pPr>
        <w:spacing w:before="120" w:after="0" w:line="240" w:lineRule="auto"/>
        <w:rPr>
          <w:lang w:val="fr-CA"/>
        </w:rPr>
      </w:pPr>
      <w:r w:rsidRPr="00313151">
        <w:rPr>
          <w:lang w:val="fr-CA"/>
        </w:rPr>
        <w:t>Qp8</w:t>
      </w:r>
      <w:r w:rsidR="00FF125B" w:rsidRPr="00313151">
        <w:rPr>
          <w:lang w:val="fr-CA"/>
        </w:rPr>
        <w:t>.</w:t>
      </w:r>
      <w:r w:rsidRPr="00313151">
        <w:rPr>
          <w:lang w:val="fr-CA"/>
        </w:rPr>
        <w:t xml:space="preserve"> </w:t>
      </w:r>
      <w:r w:rsidR="00FF125B" w:rsidRPr="00313151">
        <w:rPr>
          <w:lang w:val="fr-CA"/>
        </w:rPr>
        <w:t>…</w:t>
      </w:r>
      <w:r w:rsidRPr="00313151">
        <w:rPr>
          <w:lang w:val="fr-CA"/>
        </w:rPr>
        <w:t>na</w:t>
      </w:r>
      <w:r w:rsidR="00A72421" w:rsidRPr="00313151">
        <w:rPr>
          <w:lang w:val="fr-CA"/>
        </w:rPr>
        <w:t xml:space="preserve">tional </w:t>
      </w:r>
      <w:proofErr w:type="spellStart"/>
      <w:r w:rsidR="00A72421" w:rsidRPr="00313151">
        <w:rPr>
          <w:lang w:val="fr-CA"/>
        </w:rPr>
        <w:t>procurement</w:t>
      </w:r>
      <w:proofErr w:type="spellEnd"/>
      <w:r w:rsidR="00A72421" w:rsidRPr="00313151">
        <w:rPr>
          <w:lang w:val="fr-CA"/>
        </w:rPr>
        <w:t xml:space="preserve"> </w:t>
      </w:r>
      <w:proofErr w:type="spellStart"/>
      <w:r w:rsidR="00A72421" w:rsidRPr="00313151">
        <w:rPr>
          <w:lang w:val="fr-CA"/>
        </w:rPr>
        <w:t>systems</w:t>
      </w:r>
      <w:proofErr w:type="spellEnd"/>
      <w:r w:rsidR="00A72421" w:rsidRPr="00313151">
        <w:rPr>
          <w:lang w:val="fr-CA"/>
        </w:rPr>
        <w:t xml:space="preserve">? </w:t>
      </w:r>
      <w:r w:rsidR="00313151">
        <w:rPr>
          <w:b/>
          <w:lang w:val="fr-CA"/>
        </w:rPr>
        <w:t>USD</w:t>
      </w:r>
      <w:r w:rsidRPr="00313151">
        <w:rPr>
          <w:b/>
          <w:lang w:val="fr-CA"/>
        </w:rPr>
        <w:t xml:space="preserve"> </w:t>
      </w:r>
    </w:p>
    <w:p w:rsidR="00A72421" w:rsidRPr="00977C78" w:rsidRDefault="00A72421" w:rsidP="00EC362D">
      <w:pPr>
        <w:spacing w:before="120" w:after="0" w:line="240" w:lineRule="auto"/>
        <w:rPr>
          <w:sz w:val="8"/>
          <w:lang w:val="fr-CA"/>
        </w:rPr>
      </w:pPr>
    </w:p>
    <w:p w:rsidR="00C27015" w:rsidRDefault="00C27015">
      <w:r w:rsidRPr="006049D7">
        <w:t>Q</w:t>
      </w:r>
      <w:r w:rsidR="002E662E" w:rsidRPr="006049D7">
        <w:t>p</w:t>
      </w:r>
      <w:r w:rsidRPr="006049D7">
        <w:t>9 Transparency</w:t>
      </w:r>
    </w:p>
    <w:p w:rsidR="00C52706" w:rsidRDefault="00C27015" w:rsidP="00C27015">
      <w:pPr>
        <w:pStyle w:val="ListParagraph"/>
        <w:numPr>
          <w:ilvl w:val="0"/>
          <w:numId w:val="13"/>
        </w:numPr>
      </w:pPr>
      <w:r>
        <w:t xml:space="preserve"> Did your agency </w:t>
      </w:r>
      <w:proofErr w:type="gramStart"/>
      <w:r>
        <w:t>( Government</w:t>
      </w:r>
      <w:proofErr w:type="gramEnd"/>
      <w:r>
        <w:t xml:space="preserve">, Headquarters, </w:t>
      </w:r>
      <w:proofErr w:type="spellStart"/>
      <w:r>
        <w:t>etc</w:t>
      </w:r>
      <w:proofErr w:type="spellEnd"/>
      <w:r>
        <w:t xml:space="preserve"> ) published ODA assistance on IATI standards? </w:t>
      </w:r>
    </w:p>
    <w:p w:rsidR="00C27015" w:rsidRDefault="00C27015">
      <w:r>
        <w:t xml:space="preserve">Yes/ No, if Yes please provide a relevant link for this, if No please specify the scheduled time to do this or what are the intentions. </w:t>
      </w:r>
    </w:p>
    <w:p w:rsidR="00A24757" w:rsidRDefault="00A24757" w:rsidP="00C27015">
      <w:pPr>
        <w:pStyle w:val="ListParagraph"/>
        <w:numPr>
          <w:ilvl w:val="0"/>
          <w:numId w:val="13"/>
        </w:numPr>
      </w:pPr>
      <w:r>
        <w:t>Forward spending for Years:</w:t>
      </w:r>
    </w:p>
    <w:p w:rsidR="00A24757" w:rsidRDefault="00A24757" w:rsidP="00A24757">
      <w:pPr>
        <w:pStyle w:val="ListParagraph"/>
        <w:ind w:left="2160"/>
      </w:pPr>
      <w:r>
        <w:t xml:space="preserve">Amount </w:t>
      </w:r>
      <w:r>
        <w:tab/>
      </w:r>
      <w:r>
        <w:tab/>
      </w:r>
      <w:r>
        <w:tab/>
        <w:t>sector</w:t>
      </w:r>
    </w:p>
    <w:p w:rsidR="00A24757" w:rsidRDefault="00A24757" w:rsidP="00A24757">
      <w:pPr>
        <w:pStyle w:val="ListParagraph"/>
      </w:pPr>
      <w:r>
        <w:t>201</w:t>
      </w:r>
      <w:r w:rsidR="00995F88">
        <w:t>6</w:t>
      </w:r>
      <w:r>
        <w:t xml:space="preserve"> -</w:t>
      </w:r>
    </w:p>
    <w:p w:rsidR="00A24757" w:rsidRDefault="00A24757" w:rsidP="00A24757">
      <w:pPr>
        <w:pStyle w:val="ListParagraph"/>
      </w:pPr>
      <w:r>
        <w:t>201</w:t>
      </w:r>
      <w:r w:rsidR="00995F88">
        <w:t>7</w:t>
      </w:r>
      <w:r>
        <w:t xml:space="preserve"> -</w:t>
      </w:r>
    </w:p>
    <w:p w:rsidR="00C27015" w:rsidRDefault="00A24757" w:rsidP="00A24757">
      <w:pPr>
        <w:pStyle w:val="ListParagraph"/>
      </w:pPr>
      <w:r>
        <w:t>201</w:t>
      </w:r>
      <w:r w:rsidR="00995F88">
        <w:t>8</w:t>
      </w:r>
      <w:r>
        <w:t xml:space="preserve"> </w:t>
      </w:r>
      <w:r w:rsidR="002E662E">
        <w:t>–</w:t>
      </w:r>
    </w:p>
    <w:p w:rsidR="002E662E" w:rsidRPr="00977C78" w:rsidRDefault="002E662E" w:rsidP="00A24757">
      <w:pPr>
        <w:pStyle w:val="ListParagraph"/>
        <w:rPr>
          <w:sz w:val="16"/>
        </w:rPr>
      </w:pPr>
    </w:p>
    <w:p w:rsidR="002E662E" w:rsidRDefault="002E662E" w:rsidP="002E662E">
      <w:pPr>
        <w:pStyle w:val="ListParagraph"/>
        <w:ind w:hanging="720"/>
      </w:pPr>
      <w:proofErr w:type="gramStart"/>
      <w:r w:rsidRPr="006049D7">
        <w:t>Qp10 Gender</w:t>
      </w:r>
      <w:r>
        <w:t xml:space="preserve"> equality and women empowerment.</w:t>
      </w:r>
      <w:proofErr w:type="gramEnd"/>
    </w:p>
    <w:p w:rsidR="00313151" w:rsidRPr="002E662E" w:rsidRDefault="002E662E" w:rsidP="002E662E">
      <w:pPr>
        <w:widowControl w:val="0"/>
        <w:spacing w:before="58" w:after="0" w:line="240" w:lineRule="auto"/>
        <w:ind w:right="163"/>
        <w:jc w:val="both"/>
        <w:rPr>
          <w:rFonts w:eastAsia="Arial" w:cs="Arial"/>
          <w:szCs w:val="16"/>
        </w:rPr>
      </w:pPr>
      <w:r w:rsidRPr="002E662E">
        <w:rPr>
          <w:rFonts w:eastAsia="Arial" w:cs="Arial"/>
          <w:spacing w:val="-1"/>
          <w:szCs w:val="16"/>
        </w:rPr>
        <w:t xml:space="preserve">How much development cooperation funding </w:t>
      </w:r>
      <w:proofErr w:type="gramStart"/>
      <w:r w:rsidRPr="002E662E">
        <w:rPr>
          <w:rFonts w:eastAsia="Arial" w:cs="Arial"/>
          <w:spacing w:val="-1"/>
          <w:szCs w:val="16"/>
        </w:rPr>
        <w:t>were</w:t>
      </w:r>
      <w:proofErr w:type="gramEnd"/>
      <w:r w:rsidRPr="002E662E">
        <w:rPr>
          <w:rFonts w:eastAsia="Arial" w:cs="Arial"/>
          <w:spacing w:val="-1"/>
          <w:szCs w:val="16"/>
        </w:rPr>
        <w:t xml:space="preserve"> disbursed in 201</w:t>
      </w:r>
      <w:r w:rsidR="001F0CEB">
        <w:rPr>
          <w:rFonts w:eastAsia="Arial" w:cs="Arial"/>
          <w:spacing w:val="-1"/>
          <w:szCs w:val="16"/>
        </w:rPr>
        <w:t>4</w:t>
      </w:r>
      <w:r w:rsidRPr="002E662E">
        <w:rPr>
          <w:rFonts w:eastAsia="Arial" w:cs="Arial"/>
          <w:spacing w:val="-1"/>
          <w:szCs w:val="16"/>
        </w:rPr>
        <w:t xml:space="preserve"> for gende</w:t>
      </w:r>
      <w:r w:rsidRPr="002E662E">
        <w:rPr>
          <w:rFonts w:eastAsia="Arial" w:cs="Arial"/>
          <w:szCs w:val="16"/>
        </w:rPr>
        <w:t>r</w:t>
      </w:r>
      <w:r w:rsidRPr="002E662E">
        <w:rPr>
          <w:rFonts w:eastAsia="Arial" w:cs="Arial"/>
          <w:spacing w:val="1"/>
          <w:szCs w:val="16"/>
        </w:rPr>
        <w:t xml:space="preserve"> </w:t>
      </w:r>
      <w:r w:rsidRPr="002E662E">
        <w:rPr>
          <w:rFonts w:eastAsia="Arial" w:cs="Arial"/>
          <w:spacing w:val="-1"/>
          <w:szCs w:val="16"/>
        </w:rPr>
        <w:t>equa</w:t>
      </w:r>
      <w:r w:rsidRPr="002E662E">
        <w:rPr>
          <w:rFonts w:eastAsia="Arial" w:cs="Arial"/>
          <w:szCs w:val="16"/>
        </w:rPr>
        <w:t>li</w:t>
      </w:r>
      <w:r w:rsidRPr="002E662E">
        <w:rPr>
          <w:rFonts w:eastAsia="Arial" w:cs="Arial"/>
          <w:spacing w:val="1"/>
          <w:szCs w:val="16"/>
        </w:rPr>
        <w:t>t</w:t>
      </w:r>
      <w:r w:rsidRPr="002E662E">
        <w:rPr>
          <w:rFonts w:eastAsia="Arial" w:cs="Arial"/>
          <w:szCs w:val="16"/>
        </w:rPr>
        <w:t xml:space="preserve">y </w:t>
      </w:r>
      <w:r w:rsidRPr="002E662E">
        <w:rPr>
          <w:rFonts w:eastAsia="Arial" w:cs="Arial"/>
          <w:spacing w:val="-1"/>
          <w:szCs w:val="16"/>
        </w:rPr>
        <w:t>an</w:t>
      </w:r>
      <w:r w:rsidRPr="002E662E">
        <w:rPr>
          <w:rFonts w:eastAsia="Arial" w:cs="Arial"/>
          <w:szCs w:val="16"/>
        </w:rPr>
        <w:t xml:space="preserve">d </w:t>
      </w:r>
      <w:r w:rsidRPr="002E662E">
        <w:rPr>
          <w:rFonts w:eastAsia="Arial" w:cs="Arial"/>
          <w:spacing w:val="-3"/>
          <w:szCs w:val="16"/>
        </w:rPr>
        <w:t>w</w:t>
      </w:r>
      <w:r w:rsidRPr="002E662E">
        <w:rPr>
          <w:rFonts w:eastAsia="Arial" w:cs="Arial"/>
          <w:spacing w:val="-1"/>
          <w:szCs w:val="16"/>
        </w:rPr>
        <w:t>o</w:t>
      </w:r>
      <w:r w:rsidRPr="002E662E">
        <w:rPr>
          <w:rFonts w:eastAsia="Arial" w:cs="Arial"/>
          <w:spacing w:val="3"/>
          <w:szCs w:val="16"/>
        </w:rPr>
        <w:t>m</w:t>
      </w:r>
      <w:r w:rsidRPr="002E662E">
        <w:rPr>
          <w:rFonts w:eastAsia="Arial" w:cs="Arial"/>
          <w:spacing w:val="-1"/>
          <w:szCs w:val="16"/>
        </w:rPr>
        <w:t>en</w:t>
      </w:r>
      <w:r w:rsidRPr="002E662E">
        <w:rPr>
          <w:rFonts w:eastAsia="Arial" w:cs="Arial"/>
          <w:szCs w:val="16"/>
        </w:rPr>
        <w:t xml:space="preserve">’s </w:t>
      </w:r>
      <w:r w:rsidRPr="002E662E">
        <w:rPr>
          <w:rFonts w:eastAsia="Arial" w:cs="Arial"/>
          <w:spacing w:val="-3"/>
          <w:szCs w:val="16"/>
        </w:rPr>
        <w:t>e</w:t>
      </w:r>
      <w:r w:rsidRPr="002E662E">
        <w:rPr>
          <w:rFonts w:eastAsia="Arial" w:cs="Arial"/>
          <w:spacing w:val="3"/>
          <w:szCs w:val="16"/>
        </w:rPr>
        <w:t>m</w:t>
      </w:r>
      <w:r w:rsidRPr="002E662E">
        <w:rPr>
          <w:rFonts w:eastAsia="Arial" w:cs="Arial"/>
          <w:spacing w:val="-1"/>
          <w:szCs w:val="16"/>
        </w:rPr>
        <w:t>po</w:t>
      </w:r>
      <w:r w:rsidRPr="002E662E">
        <w:rPr>
          <w:rFonts w:eastAsia="Arial" w:cs="Arial"/>
          <w:spacing w:val="-3"/>
          <w:szCs w:val="16"/>
        </w:rPr>
        <w:t>w</w:t>
      </w:r>
      <w:r w:rsidRPr="002E662E">
        <w:rPr>
          <w:rFonts w:eastAsia="Arial" w:cs="Arial"/>
          <w:spacing w:val="-1"/>
          <w:szCs w:val="16"/>
        </w:rPr>
        <w:t>er</w:t>
      </w:r>
      <w:r w:rsidRPr="002E662E">
        <w:rPr>
          <w:rFonts w:eastAsia="Arial" w:cs="Arial"/>
          <w:spacing w:val="3"/>
          <w:szCs w:val="16"/>
        </w:rPr>
        <w:t>m</w:t>
      </w:r>
      <w:r w:rsidRPr="002E662E">
        <w:rPr>
          <w:rFonts w:eastAsia="Arial" w:cs="Arial"/>
          <w:spacing w:val="-1"/>
          <w:szCs w:val="16"/>
        </w:rPr>
        <w:t>en</w:t>
      </w:r>
      <w:r w:rsidRPr="002E662E">
        <w:rPr>
          <w:rFonts w:eastAsia="Arial" w:cs="Arial"/>
          <w:szCs w:val="16"/>
        </w:rPr>
        <w:t>t?</w:t>
      </w:r>
    </w:p>
    <w:p w:rsidR="002E662E" w:rsidRDefault="00313151" w:rsidP="002E662E">
      <w:pPr>
        <w:widowControl w:val="0"/>
        <w:spacing w:before="58" w:after="0" w:line="240" w:lineRule="auto"/>
        <w:ind w:right="163"/>
        <w:jc w:val="both"/>
        <w:rPr>
          <w:rFonts w:eastAsia="Arial" w:cs="Arial"/>
          <w:b/>
          <w:szCs w:val="16"/>
        </w:rPr>
      </w:pPr>
      <w:r>
        <w:rPr>
          <w:rFonts w:eastAsia="Arial" w:cs="Arial"/>
          <w:b/>
          <w:szCs w:val="16"/>
        </w:rPr>
        <w:t>USD</w:t>
      </w:r>
      <w:r w:rsidR="002E662E" w:rsidRPr="002E662E">
        <w:rPr>
          <w:rFonts w:eastAsia="Arial" w:cs="Arial"/>
          <w:b/>
          <w:szCs w:val="16"/>
        </w:rPr>
        <w:t xml:space="preserve"> million</w:t>
      </w:r>
    </w:p>
    <w:p w:rsidR="00313151" w:rsidRPr="002E662E" w:rsidRDefault="00313151" w:rsidP="002E662E">
      <w:pPr>
        <w:widowControl w:val="0"/>
        <w:spacing w:before="58" w:after="0" w:line="240" w:lineRule="auto"/>
        <w:ind w:right="163"/>
        <w:jc w:val="both"/>
        <w:rPr>
          <w:rFonts w:eastAsia="Arial" w:cs="Arial"/>
          <w:b/>
          <w:szCs w:val="16"/>
        </w:rPr>
      </w:pPr>
    </w:p>
    <w:p w:rsidR="000F0506" w:rsidRPr="00F17B46" w:rsidRDefault="00313151" w:rsidP="00594D67">
      <w:pPr>
        <w:spacing w:after="0" w:line="240" w:lineRule="auto"/>
      </w:pPr>
      <w:r>
        <w:t>Pl</w:t>
      </w:r>
      <w:r w:rsidR="00C52706" w:rsidRPr="00945654">
        <w:t xml:space="preserve">ease report in a </w:t>
      </w:r>
      <w:r w:rsidR="00C52706" w:rsidRPr="00945654">
        <w:rPr>
          <w:u w:val="single"/>
        </w:rPr>
        <w:t>separate questionnaire</w:t>
      </w:r>
      <w:r w:rsidR="00C52706" w:rsidRPr="00945654">
        <w:t xml:space="preserve"> any </w:t>
      </w:r>
      <w:r w:rsidR="00C52706" w:rsidRPr="00945654">
        <w:rPr>
          <w:u w:val="single"/>
        </w:rPr>
        <w:t>non-concessional lending</w:t>
      </w:r>
      <w:r w:rsidR="00945654">
        <w:rPr>
          <w:u w:val="single"/>
        </w:rPr>
        <w:t>,</w:t>
      </w:r>
      <w:r w:rsidR="00594D67" w:rsidRPr="00945654">
        <w:t xml:space="preserve"> provided it comes from an </w:t>
      </w:r>
      <w:r w:rsidR="00C52706" w:rsidRPr="00945654">
        <w:t xml:space="preserve">official source (bilateral or multilateral); </w:t>
      </w:r>
      <w:r w:rsidR="00594D67" w:rsidRPr="00945654">
        <w:t xml:space="preserve">and </w:t>
      </w:r>
      <w:r w:rsidR="00C52706" w:rsidRPr="00945654">
        <w:t xml:space="preserve">promotion of economic development and welfare </w:t>
      </w:r>
      <w:r w:rsidR="00594D67" w:rsidRPr="00945654">
        <w:t>is its</w:t>
      </w:r>
      <w:r w:rsidR="00C52706" w:rsidRPr="00945654">
        <w:t xml:space="preserve"> main objective</w:t>
      </w:r>
      <w:r w:rsidR="00594D67" w:rsidRPr="00945654">
        <w:t>.</w:t>
      </w:r>
    </w:p>
    <w:p w:rsidR="000F0506" w:rsidRDefault="006F4EA1" w:rsidP="000F0506">
      <w:pPr>
        <w:spacing w:before="120" w:after="0" w:line="240" w:lineRule="auto"/>
        <w:jc w:val="center"/>
        <w:rPr>
          <w:b/>
          <w:color w:val="4F81BD" w:themeColor="accent1"/>
          <w:sz w:val="24"/>
        </w:rPr>
      </w:pPr>
      <w:r>
        <w:rPr>
          <w:b/>
          <w:color w:val="4F81BD" w:themeColor="accent1"/>
          <w:sz w:val="24"/>
        </w:rPr>
        <w:lastRenderedPageBreak/>
        <w:t>Technical</w:t>
      </w:r>
      <w:r w:rsidR="000F0506" w:rsidRPr="000F0506">
        <w:rPr>
          <w:b/>
          <w:color w:val="4F81BD" w:themeColor="accent1"/>
          <w:sz w:val="24"/>
        </w:rPr>
        <w:t xml:space="preserve"> Note</w:t>
      </w:r>
      <w:r w:rsidR="000F0506">
        <w:rPr>
          <w:b/>
          <w:color w:val="4F81BD" w:themeColor="accent1"/>
          <w:sz w:val="24"/>
        </w:rPr>
        <w:t xml:space="preserve"> </w:t>
      </w:r>
      <w:r w:rsidR="00606F98">
        <w:rPr>
          <w:b/>
          <w:color w:val="4F81BD" w:themeColor="accent1"/>
          <w:sz w:val="24"/>
        </w:rPr>
        <w:t>-</w:t>
      </w:r>
      <w:r w:rsidR="000F0506">
        <w:rPr>
          <w:b/>
          <w:color w:val="4F81BD" w:themeColor="accent1"/>
          <w:sz w:val="24"/>
        </w:rPr>
        <w:t xml:space="preserve"> Moldova</w:t>
      </w:r>
    </w:p>
    <w:p w:rsidR="000F0506" w:rsidRDefault="000F0506" w:rsidP="000F0506">
      <w:pPr>
        <w:spacing w:before="120" w:after="0" w:line="240" w:lineRule="auto"/>
        <w:rPr>
          <w:b/>
          <w:color w:val="4F81BD" w:themeColor="accent1"/>
          <w:sz w:val="24"/>
        </w:rPr>
      </w:pPr>
    </w:p>
    <w:p w:rsidR="00606F98" w:rsidRPr="00313151" w:rsidRDefault="000F0506" w:rsidP="00606F98">
      <w:pPr>
        <w:spacing w:before="120" w:after="0" w:line="240" w:lineRule="auto"/>
        <w:rPr>
          <w:b/>
        </w:rPr>
      </w:pPr>
      <w:r w:rsidRPr="00313151">
        <w:rPr>
          <w:b/>
        </w:rPr>
        <w:t>For further information please refer to the following</w:t>
      </w:r>
      <w:r w:rsidR="00606F98" w:rsidRPr="00313151">
        <w:rPr>
          <w:b/>
        </w:rPr>
        <w:t xml:space="preserve">: </w:t>
      </w:r>
    </w:p>
    <w:p w:rsidR="00FE4D5F" w:rsidRPr="00313151" w:rsidRDefault="0019078E" w:rsidP="00D05DA7">
      <w:pPr>
        <w:pStyle w:val="ListParagraph"/>
        <w:numPr>
          <w:ilvl w:val="0"/>
          <w:numId w:val="11"/>
        </w:numPr>
        <w:spacing w:before="120" w:after="0" w:line="240" w:lineRule="auto"/>
        <w:contextualSpacing w:val="0"/>
      </w:pPr>
      <w:hyperlink r:id="rId11" w:history="1">
        <w:r w:rsidR="000746AF" w:rsidRPr="00313151">
          <w:rPr>
            <w:rStyle w:val="Hyperlink"/>
            <w:color w:val="auto"/>
          </w:rPr>
          <w:t>Webpage on Monitoring of the Global Partnership</w:t>
        </w:r>
      </w:hyperlink>
      <w:r w:rsidR="000746AF" w:rsidRPr="00313151">
        <w:t xml:space="preserve"> </w:t>
      </w:r>
    </w:p>
    <w:p w:rsidR="00F13397" w:rsidRDefault="00F13397" w:rsidP="002E662E">
      <w:pPr>
        <w:pStyle w:val="ListParagraph"/>
        <w:spacing w:before="120" w:after="0" w:line="240" w:lineRule="auto"/>
        <w:contextualSpacing w:val="0"/>
      </w:pPr>
    </w:p>
    <w:p w:rsidR="000746AF" w:rsidRDefault="000746AF" w:rsidP="000746AF">
      <w:pPr>
        <w:pStyle w:val="ListParagraph"/>
        <w:spacing w:before="120" w:after="0" w:line="240" w:lineRule="auto"/>
      </w:pPr>
    </w:p>
    <w:tbl>
      <w:tblPr>
        <w:tblStyle w:val="TableGrid"/>
        <w:tblW w:w="9288" w:type="dxa"/>
        <w:tblLook w:val="04A0" w:firstRow="1" w:lastRow="0" w:firstColumn="1" w:lastColumn="0" w:noHBand="0" w:noVBand="1"/>
      </w:tblPr>
      <w:tblGrid>
        <w:gridCol w:w="1776"/>
        <w:gridCol w:w="7512"/>
      </w:tblGrid>
      <w:tr w:rsidR="000F0506" w:rsidTr="000F0506">
        <w:tc>
          <w:tcPr>
            <w:tcW w:w="9288" w:type="dxa"/>
            <w:gridSpan w:val="2"/>
            <w:shd w:val="clear" w:color="auto" w:fill="C6D9F1" w:themeFill="text2" w:themeFillTint="33"/>
          </w:tcPr>
          <w:p w:rsidR="000F0506" w:rsidRPr="000F0506" w:rsidRDefault="000F0506" w:rsidP="000F0506">
            <w:pPr>
              <w:pStyle w:val="ListParagraph"/>
              <w:rPr>
                <w:b/>
              </w:rPr>
            </w:pPr>
            <w:r>
              <w:rPr>
                <w:b/>
              </w:rPr>
              <w:t xml:space="preserve">General Definitions </w:t>
            </w:r>
          </w:p>
        </w:tc>
      </w:tr>
      <w:tr w:rsidR="000F0506" w:rsidTr="000746AF">
        <w:tc>
          <w:tcPr>
            <w:tcW w:w="1776" w:type="dxa"/>
          </w:tcPr>
          <w:p w:rsidR="000F0506" w:rsidRDefault="000F0506" w:rsidP="00F27A95">
            <w:pPr>
              <w:rPr>
                <w:b/>
              </w:rPr>
            </w:pPr>
            <w:r w:rsidRPr="000F0506">
              <w:rPr>
                <w:b/>
              </w:rPr>
              <w:t>Development co-operation transactions to be recorded</w:t>
            </w:r>
          </w:p>
        </w:tc>
        <w:tc>
          <w:tcPr>
            <w:tcW w:w="7512" w:type="dxa"/>
          </w:tcPr>
          <w:p w:rsidR="000F0506" w:rsidRPr="000F0506" w:rsidRDefault="000F0506" w:rsidP="00F27A95">
            <w:r w:rsidRPr="000F0506">
              <w:t>For the purpose of the monitoring framework of the Global Partnership, development co-operation funding primarily refers to Official Development Assistance (ODA). This includes all the official transactions as defined in OECD-DAC Statistical Directives (OECD, 2007), including grants or loans to developing countries which are:</w:t>
            </w:r>
          </w:p>
          <w:p w:rsidR="000F0506" w:rsidRPr="000F0506" w:rsidRDefault="000F0506" w:rsidP="00F27A95">
            <w:pPr>
              <w:pStyle w:val="ListParagraph"/>
              <w:numPr>
                <w:ilvl w:val="0"/>
                <w:numId w:val="2"/>
              </w:numPr>
            </w:pPr>
            <w:r w:rsidRPr="000F0506">
              <w:t>undertaken with the promotion of the economic development and welfare as the main objective; and</w:t>
            </w:r>
          </w:p>
          <w:p w:rsidR="000F0506" w:rsidRPr="000F0506" w:rsidRDefault="000F0506" w:rsidP="00F27A95">
            <w:pPr>
              <w:pStyle w:val="ListParagraph"/>
              <w:numPr>
                <w:ilvl w:val="0"/>
                <w:numId w:val="2"/>
              </w:numPr>
            </w:pPr>
            <w:r w:rsidRPr="000F0506">
              <w:t xml:space="preserve"> </w:t>
            </w:r>
            <w:proofErr w:type="gramStart"/>
            <w:r w:rsidRPr="000F0506">
              <w:t>concessional</w:t>
            </w:r>
            <w:proofErr w:type="gramEnd"/>
            <w:r w:rsidRPr="000F0506">
              <w:t xml:space="preserve"> in character (if a loan, having a grant element of at least 25%).</w:t>
            </w:r>
          </w:p>
          <w:p w:rsidR="000F0506" w:rsidRPr="00945654" w:rsidRDefault="000F0506" w:rsidP="00945654">
            <w:pPr>
              <w:rPr>
                <w:b/>
              </w:rPr>
            </w:pPr>
          </w:p>
        </w:tc>
      </w:tr>
      <w:tr w:rsidR="000F0506" w:rsidTr="000746AF">
        <w:tc>
          <w:tcPr>
            <w:tcW w:w="1776" w:type="dxa"/>
          </w:tcPr>
          <w:p w:rsidR="000F0506" w:rsidRDefault="000F0506" w:rsidP="000F0506">
            <w:pPr>
              <w:rPr>
                <w:b/>
              </w:rPr>
            </w:pPr>
            <w:r w:rsidRPr="000F0506">
              <w:rPr>
                <w:b/>
              </w:rPr>
              <w:t>Development co-operation transactions NOT to be recorded</w:t>
            </w:r>
          </w:p>
        </w:tc>
        <w:tc>
          <w:tcPr>
            <w:tcW w:w="7512" w:type="dxa"/>
          </w:tcPr>
          <w:p w:rsidR="000F0506" w:rsidRPr="000F0506" w:rsidRDefault="000F0506" w:rsidP="000F0506">
            <w:r w:rsidRPr="000F0506">
              <w:t>The following official transactions are excluded from the scope of the Global Partnership monitoring framework and should not be recorded:</w:t>
            </w:r>
          </w:p>
          <w:p w:rsidR="000F0506" w:rsidRPr="000F0506" w:rsidRDefault="000F0506" w:rsidP="000F0506">
            <w:pPr>
              <w:pStyle w:val="ListParagraph"/>
              <w:numPr>
                <w:ilvl w:val="0"/>
                <w:numId w:val="2"/>
              </w:numPr>
            </w:pPr>
            <w:r>
              <w:t>T</w:t>
            </w:r>
            <w:r w:rsidRPr="000F0506">
              <w:t xml:space="preserve">ransactions made to beneficiaries that are not based in the country receiving development co-operation funding or to regional </w:t>
            </w:r>
            <w:proofErr w:type="spellStart"/>
            <w:r w:rsidRPr="000F0506">
              <w:t>organisations</w:t>
            </w:r>
            <w:proofErr w:type="spellEnd"/>
            <w:r w:rsidRPr="000F0506">
              <w:t xml:space="preserve"> which cannot be identified at country level;</w:t>
            </w:r>
          </w:p>
          <w:p w:rsidR="000F0506" w:rsidRPr="000F0506" w:rsidRDefault="000F0506" w:rsidP="000F0506">
            <w:pPr>
              <w:pStyle w:val="ListParagraph"/>
              <w:numPr>
                <w:ilvl w:val="0"/>
                <w:numId w:val="2"/>
              </w:numPr>
            </w:pPr>
            <w:r>
              <w:t>D</w:t>
            </w:r>
            <w:r w:rsidRPr="000F0506">
              <w:t xml:space="preserve">ebt </w:t>
            </w:r>
            <w:proofErr w:type="spellStart"/>
            <w:r w:rsidRPr="000F0506">
              <w:t>reorganisation</w:t>
            </w:r>
            <w:proofErr w:type="spellEnd"/>
            <w:r w:rsidRPr="000F0506">
              <w:t>/restructuring; and</w:t>
            </w:r>
          </w:p>
          <w:p w:rsidR="000F0506" w:rsidRPr="000F0506" w:rsidRDefault="000F0506" w:rsidP="000F0506">
            <w:pPr>
              <w:pStyle w:val="ListParagraph"/>
              <w:numPr>
                <w:ilvl w:val="0"/>
                <w:numId w:val="2"/>
              </w:numPr>
              <w:rPr>
                <w:b/>
              </w:rPr>
            </w:pPr>
            <w:r>
              <w:t>E</w:t>
            </w:r>
            <w:r w:rsidRPr="000F0506">
              <w:t>mergency and relief assistance.</w:t>
            </w:r>
          </w:p>
          <w:p w:rsidR="000F0506" w:rsidRPr="000F0506" w:rsidRDefault="000F0506" w:rsidP="000F0506">
            <w:pPr>
              <w:pStyle w:val="ListParagraph"/>
              <w:rPr>
                <w:b/>
              </w:rPr>
            </w:pPr>
          </w:p>
        </w:tc>
      </w:tr>
      <w:tr w:rsidR="000F0506" w:rsidTr="000746AF">
        <w:tc>
          <w:tcPr>
            <w:tcW w:w="1776" w:type="dxa"/>
          </w:tcPr>
          <w:p w:rsidR="000F0506" w:rsidRDefault="000F0506" w:rsidP="000F0506">
            <w:pPr>
              <w:rPr>
                <w:b/>
              </w:rPr>
            </w:pPr>
            <w:r w:rsidRPr="000F0506">
              <w:rPr>
                <w:b/>
              </w:rPr>
              <w:t>Disbursements</w:t>
            </w:r>
          </w:p>
        </w:tc>
        <w:tc>
          <w:tcPr>
            <w:tcW w:w="7512" w:type="dxa"/>
          </w:tcPr>
          <w:p w:rsidR="000F0506" w:rsidRPr="000F0506" w:rsidRDefault="000F0506" w:rsidP="000F0506">
            <w:r w:rsidRPr="000F0506">
              <w:t xml:space="preserve">A disbursement is the placement of resources at the disposal of a developing country as defined above (see development co-operation transactions). Resources provided in-kind should only be included when the value of the resources have been </w:t>
            </w:r>
            <w:proofErr w:type="spellStart"/>
            <w:r w:rsidRPr="000F0506">
              <w:t>monetised</w:t>
            </w:r>
            <w:proofErr w:type="spellEnd"/>
            <w:r w:rsidRPr="000F0506">
              <w:t xml:space="preserve"> in an agreement or in a document communicated to government.</w:t>
            </w:r>
          </w:p>
          <w:p w:rsidR="000F0506" w:rsidRPr="000F0506" w:rsidRDefault="000F0506" w:rsidP="000F0506"/>
          <w:p w:rsidR="000F0506" w:rsidRPr="000F0506" w:rsidRDefault="000F0506" w:rsidP="000F0506">
            <w:r w:rsidRPr="000F0506">
              <w:t xml:space="preserve">Where development co-operation funding is provided to the developing country as part of a provider of development co-operation’s regional (multi-country) </w:t>
            </w:r>
            <w:proofErr w:type="spellStart"/>
            <w:r w:rsidRPr="000F0506">
              <w:t>programme</w:t>
            </w:r>
            <w:proofErr w:type="spellEnd"/>
            <w:r w:rsidRPr="000F0506">
              <w:t xml:space="preserve"> and it is possible to identify those activities and disbursements that are specific to that developing country, these disbursements should also be recorded.</w:t>
            </w:r>
          </w:p>
          <w:p w:rsidR="000F0506" w:rsidRPr="000F0506" w:rsidRDefault="000F0506" w:rsidP="000F0506"/>
          <w:p w:rsidR="000F0506" w:rsidRDefault="000F0506" w:rsidP="000F0506">
            <w:r w:rsidRPr="00413CE3">
              <w:rPr>
                <w:b/>
                <w:i/>
                <w:u w:val="single"/>
              </w:rPr>
              <w:t>In order to avoid double counting in cases where one provider of development co-operation disburses funds on behalf of another, it is only the provider who makes the final disbursement to the government who should report on these funds</w:t>
            </w:r>
            <w:r w:rsidRPr="009B54DE">
              <w:rPr>
                <w:b/>
                <w:i/>
              </w:rPr>
              <w:t>.</w:t>
            </w:r>
            <w:r w:rsidRPr="000F0506">
              <w:t xml:space="preserve"> The only exception to this is Qp4, against which providers should record total development co-operation funds </w:t>
            </w:r>
            <w:proofErr w:type="spellStart"/>
            <w:r w:rsidRPr="000F0506">
              <w:t>channelled</w:t>
            </w:r>
            <w:proofErr w:type="spellEnd"/>
            <w:r w:rsidRPr="000F0506">
              <w:t xml:space="preserve"> through other providers (in the case of delegated co-operation, funds provided through multilateral </w:t>
            </w:r>
            <w:proofErr w:type="spellStart"/>
            <w:r w:rsidRPr="000F0506">
              <w:t>organisations</w:t>
            </w:r>
            <w:proofErr w:type="spellEnd"/>
            <w:r w:rsidRPr="000F0506">
              <w:t xml:space="preserve"> at the country level or multi-donor trust funds administered by another provider).</w:t>
            </w:r>
          </w:p>
          <w:p w:rsidR="006F4EA1" w:rsidRDefault="006F4EA1" w:rsidP="000F0506">
            <w:pPr>
              <w:rPr>
                <w:b/>
              </w:rPr>
            </w:pPr>
          </w:p>
        </w:tc>
      </w:tr>
      <w:tr w:rsidR="000F0506" w:rsidTr="000746AF">
        <w:tc>
          <w:tcPr>
            <w:tcW w:w="1776" w:type="dxa"/>
          </w:tcPr>
          <w:p w:rsidR="000F0506" w:rsidRPr="000F0506" w:rsidRDefault="000F0506" w:rsidP="000F0506">
            <w:pPr>
              <w:rPr>
                <w:b/>
              </w:rPr>
            </w:pPr>
            <w:r w:rsidRPr="000F0506">
              <w:rPr>
                <w:b/>
              </w:rPr>
              <w:t>Disbursements for the government sector</w:t>
            </w:r>
          </w:p>
        </w:tc>
        <w:tc>
          <w:tcPr>
            <w:tcW w:w="7512" w:type="dxa"/>
          </w:tcPr>
          <w:p w:rsidR="000F0506" w:rsidRDefault="000F0506" w:rsidP="000F0506">
            <w:r>
              <w:t xml:space="preserve">Development co-operation funding disbursed in the context of an agreement with administrations (ministries, departments, agencies or municipalities) </w:t>
            </w:r>
            <w:proofErr w:type="spellStart"/>
            <w:r>
              <w:t>authorised</w:t>
            </w:r>
            <w:proofErr w:type="spellEnd"/>
            <w:r>
              <w:t xml:space="preserve"> to receive revenue or undertake expenditures on behalf of central government. This includes works, goods or services delegated or subcontracted by these administrations to other entities such as:</w:t>
            </w:r>
          </w:p>
          <w:p w:rsidR="000F0506" w:rsidRDefault="000F0506" w:rsidP="000F0506">
            <w:pPr>
              <w:pStyle w:val="ListParagraph"/>
              <w:numPr>
                <w:ilvl w:val="0"/>
                <w:numId w:val="3"/>
              </w:numPr>
            </w:pPr>
            <w:r>
              <w:t xml:space="preserve">Non-governmental </w:t>
            </w:r>
            <w:proofErr w:type="spellStart"/>
            <w:r>
              <w:t>organisations</w:t>
            </w:r>
            <w:proofErr w:type="spellEnd"/>
            <w:r>
              <w:t xml:space="preserve"> (NGOs);</w:t>
            </w:r>
          </w:p>
          <w:p w:rsidR="000F0506" w:rsidRDefault="000F0506" w:rsidP="000F0506">
            <w:pPr>
              <w:pStyle w:val="ListParagraph"/>
              <w:numPr>
                <w:ilvl w:val="0"/>
                <w:numId w:val="3"/>
              </w:numPr>
            </w:pPr>
            <w:r>
              <w:t>Semi-autonomous government agencies (e.g. parastatals), or;</w:t>
            </w:r>
          </w:p>
          <w:p w:rsidR="000F0506" w:rsidRDefault="000F0506" w:rsidP="000F0506">
            <w:pPr>
              <w:pStyle w:val="ListParagraph"/>
              <w:numPr>
                <w:ilvl w:val="0"/>
                <w:numId w:val="3"/>
              </w:numPr>
            </w:pPr>
            <w:r>
              <w:lastRenderedPageBreak/>
              <w:t>Private companies.</w:t>
            </w:r>
          </w:p>
          <w:p w:rsidR="000F0506" w:rsidRDefault="000F0506" w:rsidP="000F0506">
            <w:r>
              <w:t>For the purpose of reporting against indicators 5a (annual predictability), 6 (aid on budget) and 9b (use of country PFM and procurement systems), development co-operation funding focuses on disbursements for the government sector.</w:t>
            </w:r>
          </w:p>
          <w:p w:rsidR="006F4EA1" w:rsidRPr="000F0506" w:rsidRDefault="006F4EA1" w:rsidP="000F0506"/>
        </w:tc>
      </w:tr>
      <w:tr w:rsidR="000F0506" w:rsidTr="000746AF">
        <w:tc>
          <w:tcPr>
            <w:tcW w:w="1776" w:type="dxa"/>
          </w:tcPr>
          <w:p w:rsidR="000F0506" w:rsidRPr="007414C9" w:rsidRDefault="000F0506" w:rsidP="000F0506">
            <w:pPr>
              <w:rPr>
                <w:b/>
                <w:highlight w:val="yellow"/>
              </w:rPr>
            </w:pPr>
            <w:r w:rsidRPr="003631A2">
              <w:rPr>
                <w:b/>
              </w:rPr>
              <w:lastRenderedPageBreak/>
              <w:t>Exchange rates</w:t>
            </w:r>
          </w:p>
        </w:tc>
        <w:tc>
          <w:tcPr>
            <w:tcW w:w="7512" w:type="dxa"/>
          </w:tcPr>
          <w:p w:rsidR="006F4EA1" w:rsidRPr="007414C9" w:rsidRDefault="000F0506" w:rsidP="00313151">
            <w:pPr>
              <w:rPr>
                <w:highlight w:val="yellow"/>
              </w:rPr>
            </w:pPr>
            <w:r w:rsidRPr="003631A2">
              <w:t>Reporting should be made in US Dollars. A table of exchange rates</w:t>
            </w:r>
            <w:r w:rsidR="003631A2" w:rsidRPr="003631A2">
              <w:t xml:space="preserve"> (except for EUR/USD)</w:t>
            </w:r>
            <w:r w:rsidRPr="003631A2">
              <w:t xml:space="preserve"> is pro</w:t>
            </w:r>
            <w:r w:rsidRPr="00CD5D29">
              <w:t xml:space="preserve">vided </w:t>
            </w:r>
            <w:hyperlink r:id="rId12" w:history="1">
              <w:r w:rsidR="00313151" w:rsidRPr="004572AB">
                <w:rPr>
                  <w:rStyle w:val="Hyperlink"/>
                  <w:lang w:val="ro-RO"/>
                </w:rPr>
                <w:t>http://www.x-rates.com/average/?from=EUR&amp;to=USD&amp;amount=1.00&amp;year=2014</w:t>
              </w:r>
            </w:hyperlink>
            <w:r w:rsidR="003631A2" w:rsidRPr="00CD5D29">
              <w:t>.</w:t>
            </w:r>
            <w:r w:rsidR="00361BC6" w:rsidRPr="00CD5D29">
              <w:t xml:space="preserve"> </w:t>
            </w:r>
            <w:r w:rsidR="00606F98" w:rsidRPr="00CD5D29">
              <w:t xml:space="preserve"> </w:t>
            </w:r>
          </w:p>
        </w:tc>
      </w:tr>
      <w:tr w:rsidR="00606F98" w:rsidTr="000746AF">
        <w:tc>
          <w:tcPr>
            <w:tcW w:w="1776" w:type="dxa"/>
            <w:tcBorders>
              <w:bottom w:val="single" w:sz="4" w:space="0" w:color="auto"/>
            </w:tcBorders>
          </w:tcPr>
          <w:p w:rsidR="00606F98" w:rsidRPr="000F0506" w:rsidRDefault="006F4EA1" w:rsidP="000F0506">
            <w:pPr>
              <w:rPr>
                <w:b/>
              </w:rPr>
            </w:pPr>
            <w:r w:rsidRPr="006F4EA1">
              <w:rPr>
                <w:b/>
              </w:rPr>
              <w:t>Provider of development co-operation</w:t>
            </w:r>
          </w:p>
        </w:tc>
        <w:tc>
          <w:tcPr>
            <w:tcW w:w="7512" w:type="dxa"/>
            <w:tcBorders>
              <w:bottom w:val="single" w:sz="4" w:space="0" w:color="auto"/>
            </w:tcBorders>
          </w:tcPr>
          <w:p w:rsidR="006F4EA1" w:rsidRDefault="006F4EA1" w:rsidP="006F4EA1">
            <w:r>
              <w:t xml:space="preserve">A provider of development co-operation is a country, </w:t>
            </w:r>
            <w:proofErr w:type="spellStart"/>
            <w:r>
              <w:t>organisation</w:t>
            </w:r>
            <w:proofErr w:type="spellEnd"/>
            <w:r>
              <w:t xml:space="preserve"> or official agency - including state and local governments and multilateral institutions – that provide development co-operation funding. Under this definition, non-governmental </w:t>
            </w:r>
            <w:proofErr w:type="spellStart"/>
            <w:r>
              <w:t>organisations</w:t>
            </w:r>
            <w:proofErr w:type="spellEnd"/>
            <w:r>
              <w:t xml:space="preserve"> (NGO) and private companies are not considered providers of development co-operation, even when they implement </w:t>
            </w:r>
            <w:proofErr w:type="spellStart"/>
            <w:r>
              <w:t>programmes</w:t>
            </w:r>
            <w:proofErr w:type="spellEnd"/>
            <w:r>
              <w:t xml:space="preserve"> funded by providers of development co-operation.</w:t>
            </w:r>
          </w:p>
          <w:p w:rsidR="006F4EA1" w:rsidRDefault="006F4EA1" w:rsidP="006F4EA1">
            <w:r>
              <w:t>Notes:</w:t>
            </w:r>
          </w:p>
          <w:p w:rsidR="006F4EA1" w:rsidRDefault="006F4EA1" w:rsidP="006F4EA1">
            <w:pPr>
              <w:pStyle w:val="ListParagraph"/>
              <w:numPr>
                <w:ilvl w:val="0"/>
                <w:numId w:val="7"/>
              </w:numPr>
            </w:pPr>
            <w:r>
              <w:t xml:space="preserve">Data concerning providers of development co-operation that have different entities (agencies of distinct </w:t>
            </w:r>
            <w:proofErr w:type="spellStart"/>
            <w:r>
              <w:t>programmes</w:t>
            </w:r>
            <w:proofErr w:type="spellEnd"/>
            <w:r>
              <w:t>) should be combined.</w:t>
            </w:r>
          </w:p>
          <w:p w:rsidR="00606F98" w:rsidRDefault="006F4EA1" w:rsidP="006F4EA1">
            <w:pPr>
              <w:pStyle w:val="ListParagraph"/>
              <w:numPr>
                <w:ilvl w:val="0"/>
                <w:numId w:val="7"/>
              </w:numPr>
            </w:pPr>
            <w:r>
              <w:t>In order to avoid double counting in cases where one provider of development co-operation disburses funds on behalf of another provider – bilateral or multilateral, it is only the provider of development co-operation who makes the final disbursement to the government that should report on these funds.</w:t>
            </w:r>
          </w:p>
          <w:p w:rsidR="006F4EA1" w:rsidRPr="000F0506" w:rsidRDefault="006F4EA1" w:rsidP="006F4EA1">
            <w:pPr>
              <w:pStyle w:val="ListParagraph"/>
            </w:pPr>
          </w:p>
        </w:tc>
      </w:tr>
      <w:tr w:rsidR="006F4EA1" w:rsidTr="006F4EA1">
        <w:tc>
          <w:tcPr>
            <w:tcW w:w="9288" w:type="dxa"/>
            <w:gridSpan w:val="2"/>
            <w:shd w:val="clear" w:color="auto" w:fill="C6D9F1" w:themeFill="text2" w:themeFillTint="33"/>
          </w:tcPr>
          <w:p w:rsidR="006F4EA1" w:rsidRPr="006F4EA1" w:rsidRDefault="006F4EA1" w:rsidP="006F4EA1">
            <w:pPr>
              <w:rPr>
                <w:b/>
              </w:rPr>
            </w:pPr>
            <w:r w:rsidRPr="006F4EA1">
              <w:rPr>
                <w:rFonts w:cs="Tahoma"/>
                <w:b/>
              </w:rPr>
              <w:t>Qp</w:t>
            </w:r>
            <w:r w:rsidRPr="006F4EA1">
              <w:rPr>
                <w:b/>
              </w:rPr>
              <w:t>3.</w:t>
            </w:r>
          </w:p>
        </w:tc>
      </w:tr>
      <w:tr w:rsidR="006F4EA1" w:rsidTr="000746AF">
        <w:tc>
          <w:tcPr>
            <w:tcW w:w="1776" w:type="dxa"/>
            <w:tcBorders>
              <w:bottom w:val="single" w:sz="4" w:space="0" w:color="auto"/>
            </w:tcBorders>
          </w:tcPr>
          <w:p w:rsidR="006F4EA1" w:rsidRPr="006F4EA1" w:rsidRDefault="006F4EA1" w:rsidP="000F0506">
            <w:pPr>
              <w:rPr>
                <w:b/>
              </w:rPr>
            </w:pPr>
            <w:r w:rsidRPr="006F4EA1">
              <w:rPr>
                <w:b/>
              </w:rPr>
              <w:t>Development co-operation funding for the government sector scheduled for disbursement</w:t>
            </w:r>
          </w:p>
        </w:tc>
        <w:tc>
          <w:tcPr>
            <w:tcW w:w="7512" w:type="dxa"/>
            <w:tcBorders>
              <w:bottom w:val="single" w:sz="4" w:space="0" w:color="auto"/>
            </w:tcBorders>
          </w:tcPr>
          <w:p w:rsidR="006F4EA1" w:rsidRPr="00D74130" w:rsidRDefault="006F4EA1" w:rsidP="006F4EA1">
            <w:pPr>
              <w:rPr>
                <w:i/>
              </w:rPr>
            </w:pPr>
            <w:r w:rsidRPr="006F4EA1">
              <w:t xml:space="preserve">Development co-operation funding scheduled for </w:t>
            </w:r>
            <w:r>
              <w:t>201</w:t>
            </w:r>
            <w:r w:rsidR="00313151">
              <w:t>4</w:t>
            </w:r>
            <w:r w:rsidRPr="006F4EA1">
              <w:t xml:space="preserve"> are considered to have been “scheduled for disbursement” when notified to government within the reporting year of reference </w:t>
            </w:r>
            <w:r w:rsidR="00313151">
              <w:t>2013</w:t>
            </w:r>
            <w:r>
              <w:t>;</w:t>
            </w:r>
            <w:r w:rsidRPr="006F4EA1">
              <w:t xml:space="preserve"> it includes development co-operation funding scheduled for disbursement</w:t>
            </w:r>
            <w:r>
              <w:t xml:space="preserve"> in</w:t>
            </w:r>
            <w:r w:rsidR="00313151">
              <w:t xml:space="preserve"> 2014</w:t>
            </w:r>
            <w:r w:rsidRPr="006F4EA1">
              <w:t xml:space="preserve"> in agreements entered during</w:t>
            </w:r>
            <w:r w:rsidR="00313151">
              <w:t xml:space="preserve"> 2014</w:t>
            </w:r>
            <w:r w:rsidRPr="006F4EA1">
              <w:t>.</w:t>
            </w:r>
            <w:r w:rsidR="00D74130">
              <w:t xml:space="preserve"> </w:t>
            </w:r>
            <w:r w:rsidR="00D74130">
              <w:rPr>
                <w:i/>
              </w:rPr>
              <w:t>(A</w:t>
            </w:r>
            <w:r w:rsidR="00D74130" w:rsidRPr="00D74130">
              <w:rPr>
                <w:i/>
              </w:rPr>
              <w:t>s</w:t>
            </w:r>
            <w:r w:rsidR="00313151">
              <w:rPr>
                <w:i/>
              </w:rPr>
              <w:t xml:space="preserve"> in 2013</w:t>
            </w:r>
            <w:r w:rsidR="00D74130" w:rsidRPr="00D74130">
              <w:rPr>
                <w:i/>
              </w:rPr>
              <w:t xml:space="preserve"> it would not have been possible to </w:t>
            </w:r>
            <w:r w:rsidR="00D74130">
              <w:rPr>
                <w:i/>
              </w:rPr>
              <w:t>schedule</w:t>
            </w:r>
            <w:r w:rsidR="00D74130" w:rsidRPr="00D74130">
              <w:rPr>
                <w:i/>
              </w:rPr>
              <w:t xml:space="preserve"> </w:t>
            </w:r>
            <w:r w:rsidR="00D74130">
              <w:rPr>
                <w:i/>
              </w:rPr>
              <w:t xml:space="preserve">the </w:t>
            </w:r>
            <w:r w:rsidR="00C918D0">
              <w:rPr>
                <w:i/>
              </w:rPr>
              <w:t>2014</w:t>
            </w:r>
            <w:r w:rsidR="00D74130" w:rsidRPr="00D74130">
              <w:rPr>
                <w:i/>
              </w:rPr>
              <w:t xml:space="preserve"> expenditure of </w:t>
            </w:r>
            <w:r w:rsidR="00D74130">
              <w:rPr>
                <w:i/>
              </w:rPr>
              <w:t>a project only si</w:t>
            </w:r>
            <w:r w:rsidR="00D74130" w:rsidRPr="00D74130">
              <w:rPr>
                <w:i/>
              </w:rPr>
              <w:t>g</w:t>
            </w:r>
            <w:r w:rsidR="00D74130">
              <w:rPr>
                <w:i/>
              </w:rPr>
              <w:t>n</w:t>
            </w:r>
            <w:r w:rsidR="00C918D0">
              <w:rPr>
                <w:i/>
              </w:rPr>
              <w:t>ed in 2014</w:t>
            </w:r>
            <w:r w:rsidR="00D74130" w:rsidRPr="00D74130">
              <w:rPr>
                <w:i/>
              </w:rPr>
              <w:t>.)</w:t>
            </w:r>
          </w:p>
          <w:p w:rsidR="007C2A80" w:rsidRDefault="007C2A80" w:rsidP="006F4EA1"/>
          <w:p w:rsidR="007C2A80" w:rsidRDefault="007C2A80" w:rsidP="006F4EA1"/>
          <w:p w:rsidR="007C2A80" w:rsidRDefault="007C2A80" w:rsidP="006F4EA1"/>
        </w:tc>
      </w:tr>
      <w:tr w:rsidR="007C2A80" w:rsidTr="007C2A80">
        <w:tc>
          <w:tcPr>
            <w:tcW w:w="9288" w:type="dxa"/>
            <w:gridSpan w:val="2"/>
            <w:shd w:val="clear" w:color="auto" w:fill="C6D9F1" w:themeFill="text2" w:themeFillTint="33"/>
          </w:tcPr>
          <w:p w:rsidR="007C2A80" w:rsidRPr="006F4EA1" w:rsidRDefault="007C2A80" w:rsidP="00AF5481">
            <w:pPr>
              <w:rPr>
                <w:b/>
              </w:rPr>
            </w:pPr>
            <w:r>
              <w:rPr>
                <w:b/>
              </w:rPr>
              <w:t>Qp5.</w:t>
            </w:r>
          </w:p>
        </w:tc>
      </w:tr>
      <w:tr w:rsidR="006F4EA1" w:rsidTr="000746AF">
        <w:tc>
          <w:tcPr>
            <w:tcW w:w="1776" w:type="dxa"/>
            <w:tcBorders>
              <w:bottom w:val="single" w:sz="4" w:space="0" w:color="auto"/>
            </w:tcBorders>
          </w:tcPr>
          <w:p w:rsidR="006F4EA1" w:rsidRPr="006F4EA1" w:rsidRDefault="007C2A80" w:rsidP="000F0506">
            <w:pPr>
              <w:rPr>
                <w:b/>
              </w:rPr>
            </w:pPr>
            <w:r w:rsidRPr="007C2A80">
              <w:rPr>
                <w:b/>
              </w:rPr>
              <w:t>Use of national budget execution procedures</w:t>
            </w:r>
          </w:p>
        </w:tc>
        <w:tc>
          <w:tcPr>
            <w:tcW w:w="7512" w:type="dxa"/>
            <w:tcBorders>
              <w:bottom w:val="single" w:sz="4" w:space="0" w:color="auto"/>
            </w:tcBorders>
          </w:tcPr>
          <w:p w:rsidR="007C2A80" w:rsidRDefault="007C2A80" w:rsidP="007C2A80">
            <w:r>
              <w:t xml:space="preserve">Providers of development co-operation use national budget execution procedures when the funds they provide are managed according to the national budgeting procedures established in the general legislation and implemented by government. This means that </w:t>
            </w:r>
            <w:proofErr w:type="spellStart"/>
            <w:r>
              <w:t>programmes</w:t>
            </w:r>
            <w:proofErr w:type="spellEnd"/>
            <w:r>
              <w:t xml:space="preserve"> supported by providers of development co-operation are subject to normal country budgetary execution procedures, namely procedures for </w:t>
            </w:r>
            <w:proofErr w:type="spellStart"/>
            <w:r>
              <w:t>authorisation</w:t>
            </w:r>
            <w:proofErr w:type="spellEnd"/>
            <w:r>
              <w:t>, approval and payment.</w:t>
            </w:r>
          </w:p>
          <w:p w:rsidR="007C2A80" w:rsidRDefault="007C2A80" w:rsidP="007C2A80">
            <w:r>
              <w:t>Providers of development co-operation are invited to review all their development co-operation activities with a view to determining how funding for the government sector meet three out of the four criteria below (anything less does not qualify):</w:t>
            </w:r>
          </w:p>
          <w:p w:rsidR="007C2A80" w:rsidRDefault="007C2A80" w:rsidP="007C2A80"/>
          <w:p w:rsidR="007C2A80" w:rsidRDefault="007C2A80" w:rsidP="007C2A80">
            <w:r>
              <w:t xml:space="preserve">1. Are your funds </w:t>
            </w:r>
            <w:r w:rsidRPr="00D8030A">
              <w:rPr>
                <w:b/>
                <w:i/>
              </w:rPr>
              <w:t>included in the annual budget</w:t>
            </w:r>
            <w:r>
              <w:t xml:space="preserve"> approved by country legislature? (Y/N)</w:t>
            </w:r>
          </w:p>
          <w:p w:rsidR="007C2A80" w:rsidRDefault="007C2A80" w:rsidP="007C2A80">
            <w:r>
              <w:t xml:space="preserve">2. Are your funds subject to established country </w:t>
            </w:r>
            <w:r w:rsidRPr="00D8030A">
              <w:rPr>
                <w:b/>
                <w:i/>
              </w:rPr>
              <w:t>budget execution procedures?</w:t>
            </w:r>
            <w:r>
              <w:t xml:space="preserve"> (Y/N)</w:t>
            </w:r>
          </w:p>
          <w:p w:rsidR="007C2A80" w:rsidRDefault="007C2A80" w:rsidP="007C2A80">
            <w:r>
              <w:t xml:space="preserve">3. Are your funds processed (e.g. deposited &amp; disbursed) through the </w:t>
            </w:r>
            <w:r w:rsidRPr="00D8030A">
              <w:rPr>
                <w:b/>
                <w:i/>
              </w:rPr>
              <w:t xml:space="preserve">established </w:t>
            </w:r>
            <w:r w:rsidRPr="00D8030A">
              <w:rPr>
                <w:b/>
                <w:i/>
              </w:rPr>
              <w:lastRenderedPageBreak/>
              <w:t>country treasury system</w:t>
            </w:r>
            <w:r>
              <w:t>? (Y/N)</w:t>
            </w:r>
          </w:p>
          <w:p w:rsidR="006F4EA1" w:rsidRDefault="007C2A80" w:rsidP="007C2A80">
            <w:r>
              <w:t xml:space="preserve">4. You do NOT require the </w:t>
            </w:r>
            <w:r w:rsidRPr="00D8030A">
              <w:rPr>
                <w:b/>
                <w:i/>
              </w:rPr>
              <w:t xml:space="preserve">opening of separate bank accounts </w:t>
            </w:r>
            <w:r>
              <w:t>for your funds? (Y/N).</w:t>
            </w:r>
            <w:r>
              <w:rPr>
                <w:rStyle w:val="FootnoteReference"/>
              </w:rPr>
              <w:footnoteReference w:id="1"/>
            </w:r>
          </w:p>
          <w:p w:rsidR="007C2A80" w:rsidRDefault="007C2A80" w:rsidP="007C2A80"/>
        </w:tc>
      </w:tr>
      <w:tr w:rsidR="007C2A80" w:rsidTr="007C2A80">
        <w:tc>
          <w:tcPr>
            <w:tcW w:w="9288" w:type="dxa"/>
            <w:gridSpan w:val="2"/>
            <w:shd w:val="clear" w:color="auto" w:fill="C6D9F1" w:themeFill="text2" w:themeFillTint="33"/>
          </w:tcPr>
          <w:p w:rsidR="007C2A80" w:rsidRDefault="007C2A80" w:rsidP="006F4EA1">
            <w:r>
              <w:rPr>
                <w:b/>
              </w:rPr>
              <w:lastRenderedPageBreak/>
              <w:t>Qp6.</w:t>
            </w:r>
          </w:p>
        </w:tc>
      </w:tr>
      <w:tr w:rsidR="006F4EA1" w:rsidTr="000746AF">
        <w:tc>
          <w:tcPr>
            <w:tcW w:w="1776" w:type="dxa"/>
            <w:tcBorders>
              <w:bottom w:val="single" w:sz="4" w:space="0" w:color="auto"/>
            </w:tcBorders>
          </w:tcPr>
          <w:p w:rsidR="006F4EA1" w:rsidRPr="006F4EA1" w:rsidRDefault="007C2A80" w:rsidP="000F0506">
            <w:pPr>
              <w:rPr>
                <w:b/>
              </w:rPr>
            </w:pPr>
            <w:r w:rsidRPr="007C2A80">
              <w:rPr>
                <w:b/>
              </w:rPr>
              <w:t>Use of national financial reporting procedures</w:t>
            </w:r>
          </w:p>
        </w:tc>
        <w:tc>
          <w:tcPr>
            <w:tcW w:w="7512" w:type="dxa"/>
            <w:tcBorders>
              <w:bottom w:val="single" w:sz="4" w:space="0" w:color="auto"/>
            </w:tcBorders>
          </w:tcPr>
          <w:p w:rsidR="007C2A80" w:rsidRDefault="007C2A80" w:rsidP="007C2A80">
            <w:r>
              <w:t xml:space="preserve">Legislative frameworks normally provide for specific types of financial reports to be produced as well as periodicity of such reporting. The use of national financial reporting means that providers of development co-operation do not impose additional requirements on governments for financial reporting. In particular providers of development co-operation do NOT require: </w:t>
            </w:r>
            <w:proofErr w:type="spellStart"/>
            <w:r>
              <w:t>i</w:t>
            </w:r>
            <w:proofErr w:type="spellEnd"/>
            <w:r>
              <w:t>) maintenance of a separate accounting system to satisfy the provider of development co-operation’s reporting requirements, and ii) creation of a separate chart of accounts to record the use of funds from the provider of development co-operation.</w:t>
            </w:r>
          </w:p>
          <w:p w:rsidR="007C2A80" w:rsidRDefault="007C2A80" w:rsidP="007C2A80">
            <w:r>
              <w:t>Providers of development co-operation are invited to review all their development activities with a view to determining how much funding for the government sector meet BOTH criteria below (anything less does not qualify):</w:t>
            </w:r>
          </w:p>
          <w:p w:rsidR="007C2A80" w:rsidRDefault="007C2A80" w:rsidP="007C2A80"/>
          <w:p w:rsidR="007C2A80" w:rsidRDefault="007C2A80" w:rsidP="007C2A80">
            <w:r>
              <w:t xml:space="preserve">1. You do NOT require maintenance of </w:t>
            </w:r>
            <w:r w:rsidRPr="00D8030A">
              <w:rPr>
                <w:b/>
                <w:i/>
              </w:rPr>
              <w:t>a separate accounting system</w:t>
            </w:r>
            <w:r>
              <w:t xml:space="preserve"> to satisfy your own reporting requirements? (Y/N)</w:t>
            </w:r>
            <w:r>
              <w:rPr>
                <w:rStyle w:val="FootnoteReference"/>
              </w:rPr>
              <w:footnoteReference w:id="2"/>
            </w:r>
          </w:p>
          <w:p w:rsidR="006F4EA1" w:rsidRDefault="007C2A80" w:rsidP="007C2A80">
            <w:r>
              <w:t xml:space="preserve">2. You ONLY require financial reports prepared using </w:t>
            </w:r>
            <w:r w:rsidRPr="00D8030A">
              <w:rPr>
                <w:b/>
                <w:i/>
              </w:rPr>
              <w:t>country’s established financial reporting arrangements</w:t>
            </w:r>
            <w:r>
              <w:t>? (Y/N)</w:t>
            </w:r>
          </w:p>
          <w:p w:rsidR="007C2A80" w:rsidRDefault="007C2A80" w:rsidP="007C2A80"/>
        </w:tc>
      </w:tr>
      <w:tr w:rsidR="007C2A80" w:rsidTr="007C2A80">
        <w:tc>
          <w:tcPr>
            <w:tcW w:w="9288" w:type="dxa"/>
            <w:gridSpan w:val="2"/>
            <w:shd w:val="clear" w:color="auto" w:fill="C6D9F1" w:themeFill="text2" w:themeFillTint="33"/>
          </w:tcPr>
          <w:p w:rsidR="007C2A80" w:rsidRDefault="007C2A80" w:rsidP="006F4EA1">
            <w:r>
              <w:rPr>
                <w:b/>
              </w:rPr>
              <w:t>Qp7.</w:t>
            </w:r>
          </w:p>
        </w:tc>
      </w:tr>
      <w:tr w:rsidR="006F4EA1" w:rsidTr="000746AF">
        <w:tc>
          <w:tcPr>
            <w:tcW w:w="1776" w:type="dxa"/>
            <w:tcBorders>
              <w:bottom w:val="single" w:sz="4" w:space="0" w:color="auto"/>
            </w:tcBorders>
          </w:tcPr>
          <w:p w:rsidR="006F4EA1" w:rsidRPr="006F4EA1" w:rsidRDefault="007C2A80" w:rsidP="000F0506">
            <w:pPr>
              <w:rPr>
                <w:b/>
              </w:rPr>
            </w:pPr>
            <w:r w:rsidRPr="007C2A80">
              <w:rPr>
                <w:b/>
              </w:rPr>
              <w:t>Use of national auditing procedures</w:t>
            </w:r>
          </w:p>
        </w:tc>
        <w:tc>
          <w:tcPr>
            <w:tcW w:w="7512" w:type="dxa"/>
            <w:tcBorders>
              <w:bottom w:val="single" w:sz="4" w:space="0" w:color="auto"/>
            </w:tcBorders>
          </w:tcPr>
          <w:p w:rsidR="007C2A80" w:rsidRDefault="007C2A80" w:rsidP="007C2A80">
            <w:r>
              <w:t>Providers of development co-operation rely on the audit opinions, issued by the country's supreme audit institution, on the government's normal financial reports/statements as defined above. The use of national auditing procedures means that providers of development co-operation do not make additional requirements on governments for auditing.</w:t>
            </w:r>
          </w:p>
          <w:p w:rsidR="007C2A80" w:rsidRDefault="007C2A80" w:rsidP="007C2A80">
            <w:r>
              <w:t>Providers of development co-operation are invited to review all their development activities with a view to determining how much development co-operation funding for the government sector meet BOTH criteria below:</w:t>
            </w:r>
            <w:r w:rsidR="00D8030A">
              <w:rPr>
                <w:rStyle w:val="FootnoteReference"/>
              </w:rPr>
              <w:footnoteReference w:id="3"/>
            </w:r>
          </w:p>
          <w:p w:rsidR="007C2A80" w:rsidRDefault="007C2A80" w:rsidP="007C2A80"/>
          <w:p w:rsidR="007C2A80" w:rsidRDefault="007C2A80" w:rsidP="007C2A80">
            <w:r>
              <w:t xml:space="preserve">1. Are your funds subject to audit carried out </w:t>
            </w:r>
            <w:r w:rsidRPr="00D8030A">
              <w:rPr>
                <w:b/>
                <w:i/>
              </w:rPr>
              <w:t>under the responsibility of the Supreme Audit Institution</w:t>
            </w:r>
            <w:r>
              <w:t>? (Y/N)</w:t>
            </w:r>
          </w:p>
          <w:p w:rsidR="007C2A80" w:rsidRDefault="007C2A80" w:rsidP="007C2A80">
            <w:r>
              <w:t xml:space="preserve">2. You do NOT under normal circumstances </w:t>
            </w:r>
            <w:r w:rsidRPr="00D8030A">
              <w:rPr>
                <w:b/>
                <w:i/>
              </w:rPr>
              <w:t>request additional audit arrangements</w:t>
            </w:r>
            <w:r w:rsidR="00D8030A">
              <w:rPr>
                <w:rStyle w:val="FootnoteReference"/>
                <w:b/>
                <w:i/>
              </w:rPr>
              <w:footnoteReference w:id="4"/>
            </w:r>
            <w:r w:rsidR="00D8030A">
              <w:t>? (Y/N)</w:t>
            </w:r>
            <w:r w:rsidR="00D8030A">
              <w:rPr>
                <w:rStyle w:val="FootnoteReference"/>
              </w:rPr>
              <w:footnoteReference w:id="5"/>
            </w:r>
          </w:p>
          <w:p w:rsidR="00D8030A" w:rsidRDefault="00D8030A" w:rsidP="007C2A80"/>
          <w:p w:rsidR="007C2A80" w:rsidRDefault="007C2A80" w:rsidP="007C2A80">
            <w:pPr>
              <w:rPr>
                <w:b/>
                <w:i/>
              </w:rPr>
            </w:pPr>
            <w:r w:rsidRPr="00D8030A">
              <w:rPr>
                <w:b/>
                <w:i/>
              </w:rPr>
              <w:t>AND at least one of the two criteria below:</w:t>
            </w:r>
          </w:p>
          <w:p w:rsidR="00D8030A" w:rsidRPr="00D8030A" w:rsidRDefault="00D8030A" w:rsidP="007C2A80">
            <w:pPr>
              <w:rPr>
                <w:b/>
                <w:i/>
              </w:rPr>
            </w:pPr>
          </w:p>
          <w:p w:rsidR="007C2A80" w:rsidRDefault="007C2A80" w:rsidP="007C2A80">
            <w:r>
              <w:t xml:space="preserve">3. You do NOT require </w:t>
            </w:r>
            <w:r w:rsidRPr="00D8030A">
              <w:rPr>
                <w:b/>
                <w:i/>
              </w:rPr>
              <w:t>audit standards different</w:t>
            </w:r>
            <w:r>
              <w:t xml:space="preserve"> from those adopted by the Supreme Audit Institution? (Y/N)</w:t>
            </w:r>
            <w:r w:rsidR="00D8030A">
              <w:rPr>
                <w:rStyle w:val="FootnoteReference"/>
              </w:rPr>
              <w:footnoteReference w:id="6"/>
            </w:r>
          </w:p>
          <w:p w:rsidR="006F4EA1" w:rsidRDefault="007C2A80" w:rsidP="007C2A80">
            <w:r>
              <w:t xml:space="preserve">4. You do NOT require the Supreme Audit Institution to change its </w:t>
            </w:r>
            <w:r w:rsidRPr="00D8030A">
              <w:rPr>
                <w:b/>
                <w:i/>
              </w:rPr>
              <w:t>audit cycle</w:t>
            </w:r>
            <w:r>
              <w:t xml:space="preserve"> to audit your funds? (Y/N)</w:t>
            </w:r>
            <w:r w:rsidR="00D8030A">
              <w:rPr>
                <w:rStyle w:val="FootnoteReference"/>
              </w:rPr>
              <w:footnoteReference w:id="7"/>
            </w:r>
          </w:p>
          <w:p w:rsidR="007C2A80" w:rsidRDefault="007C2A80" w:rsidP="007C2A80"/>
        </w:tc>
      </w:tr>
      <w:tr w:rsidR="007C2A80" w:rsidTr="007C2A80">
        <w:tc>
          <w:tcPr>
            <w:tcW w:w="9288" w:type="dxa"/>
            <w:gridSpan w:val="2"/>
            <w:shd w:val="clear" w:color="auto" w:fill="C6D9F1" w:themeFill="text2" w:themeFillTint="33"/>
          </w:tcPr>
          <w:p w:rsidR="007C2A80" w:rsidRDefault="007C2A80" w:rsidP="006F4EA1">
            <w:r>
              <w:rPr>
                <w:b/>
              </w:rPr>
              <w:lastRenderedPageBreak/>
              <w:t>Qp8.</w:t>
            </w:r>
          </w:p>
        </w:tc>
      </w:tr>
      <w:tr w:rsidR="006F4EA1" w:rsidTr="000746AF">
        <w:tc>
          <w:tcPr>
            <w:tcW w:w="1776" w:type="dxa"/>
          </w:tcPr>
          <w:p w:rsidR="006F4EA1" w:rsidRPr="006F4EA1" w:rsidRDefault="007C2A80" w:rsidP="000F0506">
            <w:pPr>
              <w:rPr>
                <w:b/>
              </w:rPr>
            </w:pPr>
            <w:r w:rsidRPr="007C2A80">
              <w:rPr>
                <w:b/>
              </w:rPr>
              <w:t>Use of national procurement systems</w:t>
            </w:r>
          </w:p>
        </w:tc>
        <w:tc>
          <w:tcPr>
            <w:tcW w:w="7512" w:type="dxa"/>
          </w:tcPr>
          <w:p w:rsidR="006F4EA1" w:rsidRDefault="007C2A80" w:rsidP="006F4EA1">
            <w:r w:rsidRPr="007C2A80">
              <w:t xml:space="preserve">Providers of development co-operation use national procurement systems when the funds they provide for the implementation of projects and </w:t>
            </w:r>
            <w:proofErr w:type="spellStart"/>
            <w:r w:rsidRPr="007C2A80">
              <w:t>programmes</w:t>
            </w:r>
            <w:proofErr w:type="spellEnd"/>
            <w:r w:rsidRPr="007C2A80">
              <w:t xml:space="preserve"> are managed according to the national procurement procedures as they were established in the general legislation and implemented by government. The use of national procurement procedures means that providers of development co-operation do not make additional, or special, requirements on governments for the procurement of works, goods and services. (Where weaknesses in national procurement systems have been identified, providers of development co-operation may work with developing countries in order to improve the efficiency, economy, and transparency of their implementation).</w:t>
            </w:r>
          </w:p>
        </w:tc>
      </w:tr>
    </w:tbl>
    <w:p w:rsidR="000F0506" w:rsidRDefault="000F0506" w:rsidP="000F0506">
      <w:pPr>
        <w:rPr>
          <w:b/>
        </w:rPr>
      </w:pPr>
    </w:p>
    <w:sectPr w:rsidR="000F0506" w:rsidSect="00977C78">
      <w:footerReference w:type="default" r:id="rId13"/>
      <w:pgSz w:w="11907" w:h="16839" w:code="9"/>
      <w:pgMar w:top="567" w:right="1440" w:bottom="42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78E" w:rsidRDefault="0019078E" w:rsidP="000F0506">
      <w:pPr>
        <w:spacing w:after="0" w:line="240" w:lineRule="auto"/>
      </w:pPr>
      <w:r>
        <w:separator/>
      </w:r>
    </w:p>
  </w:endnote>
  <w:endnote w:type="continuationSeparator" w:id="0">
    <w:p w:rsidR="0019078E" w:rsidRDefault="0019078E" w:rsidP="000F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8158195"/>
      <w:docPartObj>
        <w:docPartGallery w:val="Page Numbers (Bottom of Page)"/>
        <w:docPartUnique/>
      </w:docPartObj>
    </w:sdtPr>
    <w:sdtEndPr>
      <w:rPr>
        <w:noProof/>
      </w:rPr>
    </w:sdtEndPr>
    <w:sdtContent>
      <w:p w:rsidR="00F07FA5" w:rsidRDefault="00F07FA5">
        <w:pPr>
          <w:pStyle w:val="Footer"/>
          <w:jc w:val="center"/>
        </w:pPr>
        <w:r>
          <w:fldChar w:fldCharType="begin"/>
        </w:r>
        <w:r>
          <w:instrText xml:space="preserve"> PAGE   \* MERGEFORMAT </w:instrText>
        </w:r>
        <w:r>
          <w:fldChar w:fldCharType="separate"/>
        </w:r>
        <w:r w:rsidR="00977C78">
          <w:rPr>
            <w:noProof/>
          </w:rPr>
          <w:t>1</w:t>
        </w:r>
        <w:r>
          <w:rPr>
            <w:noProof/>
          </w:rPr>
          <w:fldChar w:fldCharType="end"/>
        </w:r>
      </w:p>
    </w:sdtContent>
  </w:sdt>
  <w:p w:rsidR="00F07FA5" w:rsidRDefault="00F07F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78E" w:rsidRDefault="0019078E" w:rsidP="000F0506">
      <w:pPr>
        <w:spacing w:after="0" w:line="240" w:lineRule="auto"/>
      </w:pPr>
      <w:r>
        <w:separator/>
      </w:r>
    </w:p>
  </w:footnote>
  <w:footnote w:type="continuationSeparator" w:id="0">
    <w:p w:rsidR="0019078E" w:rsidRDefault="0019078E" w:rsidP="000F0506">
      <w:pPr>
        <w:spacing w:after="0" w:line="240" w:lineRule="auto"/>
      </w:pPr>
      <w:r>
        <w:continuationSeparator/>
      </w:r>
    </w:p>
  </w:footnote>
  <w:footnote w:id="1">
    <w:p w:rsidR="007C2A80" w:rsidRDefault="007C2A80">
      <w:pPr>
        <w:pStyle w:val="FootnoteText"/>
      </w:pPr>
      <w:r>
        <w:rPr>
          <w:rStyle w:val="FootnoteReference"/>
        </w:rPr>
        <w:footnoteRef/>
      </w:r>
      <w:r>
        <w:t xml:space="preserve"> </w:t>
      </w:r>
      <w:r w:rsidRPr="007C2A80">
        <w:t xml:space="preserve">Budget execution — </w:t>
      </w:r>
      <w:proofErr w:type="gramStart"/>
      <w:r w:rsidRPr="007C2A80">
        <w:t>Yes</w:t>
      </w:r>
      <w:proofErr w:type="gramEnd"/>
      <w:r w:rsidRPr="007C2A80">
        <w:t xml:space="preserve">: you do not require opening separate accounts. No: you do require opening separate accounts. </w:t>
      </w:r>
      <w:r>
        <w:t xml:space="preserve"> </w:t>
      </w:r>
    </w:p>
  </w:footnote>
  <w:footnote w:id="2">
    <w:p w:rsidR="007C2A80" w:rsidRDefault="007C2A80">
      <w:pPr>
        <w:pStyle w:val="FootnoteText"/>
      </w:pPr>
      <w:r>
        <w:rPr>
          <w:rStyle w:val="FootnoteReference"/>
        </w:rPr>
        <w:footnoteRef/>
      </w:r>
      <w:r>
        <w:t xml:space="preserve"> </w:t>
      </w:r>
      <w:r w:rsidRPr="007C2A80">
        <w:t xml:space="preserve">Financial reporting — </w:t>
      </w:r>
      <w:proofErr w:type="gramStart"/>
      <w:r w:rsidRPr="007C2A80">
        <w:t>Yes</w:t>
      </w:r>
      <w:proofErr w:type="gramEnd"/>
      <w:r w:rsidRPr="007C2A80">
        <w:t>: you do not require a separate accounting system. No: you do require a separate accounting system.</w:t>
      </w:r>
    </w:p>
  </w:footnote>
  <w:footnote w:id="3">
    <w:p w:rsidR="00D8030A" w:rsidRDefault="00D8030A" w:rsidP="00D8030A">
      <w:pPr>
        <w:pStyle w:val="FootnoteText"/>
      </w:pPr>
      <w:r>
        <w:rPr>
          <w:rStyle w:val="FootnoteReference"/>
        </w:rPr>
        <w:footnoteRef/>
      </w:r>
      <w:r>
        <w:t xml:space="preserve"> Note: where development co-operation funding is provided to parastatal entities (for example, public enterprises) and these entities are not subject to audit by the Supreme Audit Institution, the following criteria should be considered:</w:t>
      </w:r>
    </w:p>
    <w:p w:rsidR="00D8030A" w:rsidRPr="00D8030A" w:rsidRDefault="00D8030A" w:rsidP="00D8030A">
      <w:pPr>
        <w:pStyle w:val="FootnoteText"/>
        <w:rPr>
          <w:i/>
        </w:rPr>
      </w:pPr>
      <w:r w:rsidRPr="00D8030A">
        <w:rPr>
          <w:i/>
        </w:rPr>
        <w:t>Providers of development co-operation are invited to review all their development activities with a view to determining how much development co-operation funding for the government sector meet BOTH criteria below:</w:t>
      </w:r>
    </w:p>
    <w:p w:rsidR="00D8030A" w:rsidRPr="00D8030A" w:rsidRDefault="00D8030A" w:rsidP="0008552F">
      <w:pPr>
        <w:pStyle w:val="FootnoteText"/>
        <w:ind w:left="720"/>
        <w:rPr>
          <w:i/>
        </w:rPr>
      </w:pPr>
      <w:r w:rsidRPr="00D8030A">
        <w:rPr>
          <w:i/>
        </w:rPr>
        <w:t>1. Are your funds subject to audit carried out under the regular audit procedures established for the audit of parastatal entities? (Y/N)</w:t>
      </w:r>
    </w:p>
    <w:p w:rsidR="00D8030A" w:rsidRPr="00D8030A" w:rsidRDefault="00D8030A" w:rsidP="0008552F">
      <w:pPr>
        <w:pStyle w:val="FootnoteText"/>
        <w:ind w:left="720"/>
        <w:rPr>
          <w:i/>
        </w:rPr>
      </w:pPr>
      <w:r w:rsidRPr="00D8030A">
        <w:rPr>
          <w:i/>
        </w:rPr>
        <w:t>2. You do NOT under normal circumstances request additional audit arrangements? (Y/N)</w:t>
      </w:r>
    </w:p>
    <w:p w:rsidR="00D8030A" w:rsidRPr="00D8030A" w:rsidRDefault="00D8030A" w:rsidP="0008552F">
      <w:pPr>
        <w:pStyle w:val="FootnoteText"/>
        <w:ind w:left="720"/>
        <w:rPr>
          <w:i/>
        </w:rPr>
      </w:pPr>
      <w:r w:rsidRPr="00D8030A">
        <w:rPr>
          <w:i/>
        </w:rPr>
        <w:t>AND at least one of the two criteria below:</w:t>
      </w:r>
    </w:p>
    <w:p w:rsidR="00D8030A" w:rsidRPr="00D8030A" w:rsidRDefault="00D8030A" w:rsidP="0008552F">
      <w:pPr>
        <w:pStyle w:val="FootnoteText"/>
        <w:ind w:left="720"/>
        <w:rPr>
          <w:i/>
        </w:rPr>
      </w:pPr>
      <w:r w:rsidRPr="00D8030A">
        <w:rPr>
          <w:i/>
        </w:rPr>
        <w:t>3. You do NOT require audit standards different from those adopted by the partner country for the audit of parastatal entities? (Y/N)</w:t>
      </w:r>
    </w:p>
    <w:p w:rsidR="00D8030A" w:rsidRDefault="00D8030A" w:rsidP="0008552F">
      <w:pPr>
        <w:pStyle w:val="FootnoteText"/>
        <w:ind w:left="720"/>
        <w:rPr>
          <w:i/>
        </w:rPr>
      </w:pPr>
      <w:r w:rsidRPr="00D8030A">
        <w:rPr>
          <w:i/>
        </w:rPr>
        <w:t>4. You do NOT require a change in the audit cycle of the parastatal entity to audit your funds? (Y/N)</w:t>
      </w:r>
    </w:p>
    <w:p w:rsidR="00D8030A" w:rsidRPr="00D8030A" w:rsidRDefault="00D8030A" w:rsidP="00D8030A">
      <w:pPr>
        <w:pStyle w:val="FootnoteText"/>
        <w:rPr>
          <w:i/>
        </w:rPr>
      </w:pPr>
    </w:p>
  </w:footnote>
  <w:footnote w:id="4">
    <w:p w:rsidR="00D8030A" w:rsidRDefault="00D8030A">
      <w:pPr>
        <w:pStyle w:val="FootnoteText"/>
      </w:pPr>
      <w:r>
        <w:rPr>
          <w:rStyle w:val="FootnoteReference"/>
        </w:rPr>
        <w:footnoteRef/>
      </w:r>
      <w:r>
        <w:t xml:space="preserve"> </w:t>
      </w:r>
      <w:r w:rsidRPr="00D8030A">
        <w:t>Reserving the right to make an exceptional audit (e.g. when fraud or corruption is discovered) does not count against this criteria.</w:t>
      </w:r>
    </w:p>
  </w:footnote>
  <w:footnote w:id="5">
    <w:p w:rsidR="00D8030A" w:rsidRDefault="00D8030A">
      <w:pPr>
        <w:pStyle w:val="FootnoteText"/>
      </w:pPr>
      <w:r>
        <w:rPr>
          <w:rStyle w:val="FootnoteReference"/>
        </w:rPr>
        <w:footnoteRef/>
      </w:r>
      <w:r>
        <w:t xml:space="preserve"> </w:t>
      </w:r>
      <w:r w:rsidRPr="00D8030A">
        <w:t>Yes: providers do not require additional audits. No: providers do require additional audits.</w:t>
      </w:r>
    </w:p>
  </w:footnote>
  <w:footnote w:id="6">
    <w:p w:rsidR="00D8030A" w:rsidRDefault="00D8030A">
      <w:pPr>
        <w:pStyle w:val="FootnoteText"/>
      </w:pPr>
      <w:r>
        <w:rPr>
          <w:rStyle w:val="FootnoteReference"/>
        </w:rPr>
        <w:footnoteRef/>
      </w:r>
      <w:r>
        <w:t xml:space="preserve"> </w:t>
      </w:r>
      <w:r w:rsidRPr="00D8030A">
        <w:t>Yes: providers do not require different audit standards. No: providers do require different audit standards.</w:t>
      </w:r>
    </w:p>
  </w:footnote>
  <w:footnote w:id="7">
    <w:p w:rsidR="00D8030A" w:rsidRDefault="00D8030A">
      <w:pPr>
        <w:pStyle w:val="FootnoteText"/>
      </w:pPr>
      <w:r>
        <w:rPr>
          <w:rStyle w:val="FootnoteReference"/>
        </w:rPr>
        <w:footnoteRef/>
      </w:r>
      <w:r>
        <w:t xml:space="preserve"> </w:t>
      </w:r>
      <w:r w:rsidRPr="00D8030A">
        <w:t xml:space="preserve">Yes: providers do not require </w:t>
      </w:r>
      <w:proofErr w:type="gramStart"/>
      <w:r w:rsidRPr="00D8030A">
        <w:t>to change</w:t>
      </w:r>
      <w:proofErr w:type="gramEnd"/>
      <w:r w:rsidRPr="00D8030A">
        <w:t xml:space="preserve"> the audit cycle. No: providers do require change to the audit cycle.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29D1"/>
    <w:multiLevelType w:val="hybridMultilevel"/>
    <w:tmpl w:val="EB40A670"/>
    <w:lvl w:ilvl="0" w:tplc="075CA5F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A430E6"/>
    <w:multiLevelType w:val="hybridMultilevel"/>
    <w:tmpl w:val="6E0C5AE6"/>
    <w:lvl w:ilvl="0" w:tplc="8BE442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3E5333"/>
    <w:multiLevelType w:val="hybridMultilevel"/>
    <w:tmpl w:val="460EF6BA"/>
    <w:lvl w:ilvl="0" w:tplc="95F2D71E">
      <w:start w:val="201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1328DE"/>
    <w:multiLevelType w:val="hybridMultilevel"/>
    <w:tmpl w:val="03529C5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8C61B4"/>
    <w:multiLevelType w:val="hybridMultilevel"/>
    <w:tmpl w:val="EE8289BC"/>
    <w:lvl w:ilvl="0" w:tplc="5C6276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905CE7"/>
    <w:multiLevelType w:val="hybridMultilevel"/>
    <w:tmpl w:val="932EDB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B318E8"/>
    <w:multiLevelType w:val="hybridMultilevel"/>
    <w:tmpl w:val="E4425440"/>
    <w:lvl w:ilvl="0" w:tplc="3294E6AC">
      <w:start w:val="201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43027A"/>
    <w:multiLevelType w:val="hybridMultilevel"/>
    <w:tmpl w:val="67CEB4EC"/>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092EAC"/>
    <w:multiLevelType w:val="hybridMultilevel"/>
    <w:tmpl w:val="6B4221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945A94"/>
    <w:multiLevelType w:val="hybridMultilevel"/>
    <w:tmpl w:val="7D1C15A0"/>
    <w:lvl w:ilvl="0" w:tplc="6E46F166">
      <w:start w:val="201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48112D"/>
    <w:multiLevelType w:val="hybridMultilevel"/>
    <w:tmpl w:val="C114A854"/>
    <w:lvl w:ilvl="0" w:tplc="7B2811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EB3015"/>
    <w:multiLevelType w:val="hybridMultilevel"/>
    <w:tmpl w:val="CACA5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50448F"/>
    <w:multiLevelType w:val="multilevel"/>
    <w:tmpl w:val="8A22B7B6"/>
    <w:styleLink w:val="Styl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
  </w:num>
  <w:num w:numId="4">
    <w:abstractNumId w:val="10"/>
  </w:num>
  <w:num w:numId="5">
    <w:abstractNumId w:val="9"/>
  </w:num>
  <w:num w:numId="6">
    <w:abstractNumId w:val="2"/>
  </w:num>
  <w:num w:numId="7">
    <w:abstractNumId w:val="8"/>
  </w:num>
  <w:num w:numId="8">
    <w:abstractNumId w:val="4"/>
  </w:num>
  <w:num w:numId="9">
    <w:abstractNumId w:val="3"/>
  </w:num>
  <w:num w:numId="10">
    <w:abstractNumId w:val="5"/>
  </w:num>
  <w:num w:numId="11">
    <w:abstractNumId w:val="11"/>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95A"/>
    <w:rsid w:val="00033432"/>
    <w:rsid w:val="000746AF"/>
    <w:rsid w:val="0008552F"/>
    <w:rsid w:val="000940D3"/>
    <w:rsid w:val="000F0506"/>
    <w:rsid w:val="000F2E6A"/>
    <w:rsid w:val="001067FA"/>
    <w:rsid w:val="00177D0C"/>
    <w:rsid w:val="0019078E"/>
    <w:rsid w:val="001914C7"/>
    <w:rsid w:val="001B494A"/>
    <w:rsid w:val="001E4FF6"/>
    <w:rsid w:val="001E7864"/>
    <w:rsid w:val="001F0CEB"/>
    <w:rsid w:val="00200688"/>
    <w:rsid w:val="00204E0E"/>
    <w:rsid w:val="00230D1B"/>
    <w:rsid w:val="00297728"/>
    <w:rsid w:val="002E662E"/>
    <w:rsid w:val="00313151"/>
    <w:rsid w:val="00320BFC"/>
    <w:rsid w:val="00361BC6"/>
    <w:rsid w:val="00362CBD"/>
    <w:rsid w:val="003631A2"/>
    <w:rsid w:val="00372F4A"/>
    <w:rsid w:val="00413CE3"/>
    <w:rsid w:val="004A1998"/>
    <w:rsid w:val="004D71CB"/>
    <w:rsid w:val="00522054"/>
    <w:rsid w:val="005265F7"/>
    <w:rsid w:val="0053390D"/>
    <w:rsid w:val="0053395A"/>
    <w:rsid w:val="00565AE2"/>
    <w:rsid w:val="005747AF"/>
    <w:rsid w:val="00576212"/>
    <w:rsid w:val="00594D67"/>
    <w:rsid w:val="005A370E"/>
    <w:rsid w:val="005C0C34"/>
    <w:rsid w:val="005D53B8"/>
    <w:rsid w:val="006049D7"/>
    <w:rsid w:val="00606F98"/>
    <w:rsid w:val="00657F8C"/>
    <w:rsid w:val="00662E95"/>
    <w:rsid w:val="00681E62"/>
    <w:rsid w:val="006878A1"/>
    <w:rsid w:val="006C6C46"/>
    <w:rsid w:val="006D7442"/>
    <w:rsid w:val="006E7CB7"/>
    <w:rsid w:val="006F4EA1"/>
    <w:rsid w:val="007414C9"/>
    <w:rsid w:val="00770456"/>
    <w:rsid w:val="007C2A80"/>
    <w:rsid w:val="0081454C"/>
    <w:rsid w:val="00815DEF"/>
    <w:rsid w:val="008A0C96"/>
    <w:rsid w:val="008E0A6D"/>
    <w:rsid w:val="008E3571"/>
    <w:rsid w:val="00945654"/>
    <w:rsid w:val="00976165"/>
    <w:rsid w:val="00976CA1"/>
    <w:rsid w:val="00977C78"/>
    <w:rsid w:val="00995F88"/>
    <w:rsid w:val="009B54DE"/>
    <w:rsid w:val="009F62B5"/>
    <w:rsid w:val="00A24757"/>
    <w:rsid w:val="00A53621"/>
    <w:rsid w:val="00A72421"/>
    <w:rsid w:val="00A975C0"/>
    <w:rsid w:val="00AC4E60"/>
    <w:rsid w:val="00B133E9"/>
    <w:rsid w:val="00BD060C"/>
    <w:rsid w:val="00BD54B4"/>
    <w:rsid w:val="00C27015"/>
    <w:rsid w:val="00C52706"/>
    <w:rsid w:val="00C918D0"/>
    <w:rsid w:val="00CA042F"/>
    <w:rsid w:val="00CA2304"/>
    <w:rsid w:val="00CD5D29"/>
    <w:rsid w:val="00CE6856"/>
    <w:rsid w:val="00CE7899"/>
    <w:rsid w:val="00CF79E4"/>
    <w:rsid w:val="00D05DA7"/>
    <w:rsid w:val="00D502D9"/>
    <w:rsid w:val="00D74130"/>
    <w:rsid w:val="00D8030A"/>
    <w:rsid w:val="00DE5D38"/>
    <w:rsid w:val="00E01B70"/>
    <w:rsid w:val="00E33B2F"/>
    <w:rsid w:val="00E75AF3"/>
    <w:rsid w:val="00EC362D"/>
    <w:rsid w:val="00F07FA5"/>
    <w:rsid w:val="00F13397"/>
    <w:rsid w:val="00F17B46"/>
    <w:rsid w:val="00F217C8"/>
    <w:rsid w:val="00F62655"/>
    <w:rsid w:val="00F670A7"/>
    <w:rsid w:val="00FE4D5F"/>
    <w:rsid w:val="00FF1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1067FA"/>
    <w:pPr>
      <w:numPr>
        <w:numId w:val="1"/>
      </w:numPr>
    </w:pPr>
  </w:style>
  <w:style w:type="paragraph" w:customStyle="1" w:styleId="Default">
    <w:name w:val="Default"/>
    <w:rsid w:val="00EC362D"/>
    <w:pPr>
      <w:autoSpaceDE w:val="0"/>
      <w:autoSpaceDN w:val="0"/>
      <w:adjustRightInd w:val="0"/>
      <w:spacing w:after="0" w:line="240" w:lineRule="auto"/>
    </w:pPr>
    <w:rPr>
      <w:rFonts w:ascii="Wingdings" w:hAnsi="Wingdings" w:cs="Wingdings"/>
      <w:color w:val="000000"/>
      <w:sz w:val="24"/>
      <w:szCs w:val="24"/>
    </w:rPr>
  </w:style>
  <w:style w:type="table" w:styleId="TableGrid">
    <w:name w:val="Table Grid"/>
    <w:basedOn w:val="TableNormal"/>
    <w:uiPriority w:val="59"/>
    <w:rsid w:val="000F0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0506"/>
    <w:pPr>
      <w:ind w:left="720"/>
      <w:contextualSpacing/>
    </w:pPr>
  </w:style>
  <w:style w:type="paragraph" w:styleId="Header">
    <w:name w:val="header"/>
    <w:basedOn w:val="Normal"/>
    <w:link w:val="HeaderChar"/>
    <w:uiPriority w:val="99"/>
    <w:unhideWhenUsed/>
    <w:rsid w:val="000F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506"/>
  </w:style>
  <w:style w:type="paragraph" w:styleId="Footer">
    <w:name w:val="footer"/>
    <w:basedOn w:val="Normal"/>
    <w:link w:val="FooterChar"/>
    <w:uiPriority w:val="99"/>
    <w:unhideWhenUsed/>
    <w:rsid w:val="000F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506"/>
  </w:style>
  <w:style w:type="character" w:styleId="Hyperlink">
    <w:name w:val="Hyperlink"/>
    <w:basedOn w:val="DefaultParagraphFont"/>
    <w:uiPriority w:val="99"/>
    <w:unhideWhenUsed/>
    <w:rsid w:val="00606F98"/>
    <w:rPr>
      <w:color w:val="0000FF"/>
      <w:u w:val="single"/>
    </w:rPr>
  </w:style>
  <w:style w:type="paragraph" w:styleId="FootnoteText">
    <w:name w:val="footnote text"/>
    <w:basedOn w:val="Normal"/>
    <w:link w:val="FootnoteTextChar"/>
    <w:uiPriority w:val="99"/>
    <w:semiHidden/>
    <w:unhideWhenUsed/>
    <w:rsid w:val="007C2A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2A80"/>
    <w:rPr>
      <w:sz w:val="20"/>
      <w:szCs w:val="20"/>
    </w:rPr>
  </w:style>
  <w:style w:type="character" w:styleId="FootnoteReference">
    <w:name w:val="footnote reference"/>
    <w:basedOn w:val="DefaultParagraphFont"/>
    <w:uiPriority w:val="99"/>
    <w:semiHidden/>
    <w:unhideWhenUsed/>
    <w:rsid w:val="007C2A80"/>
    <w:rPr>
      <w:vertAlign w:val="superscript"/>
    </w:rPr>
  </w:style>
  <w:style w:type="character" w:styleId="FollowedHyperlink">
    <w:name w:val="FollowedHyperlink"/>
    <w:basedOn w:val="DefaultParagraphFont"/>
    <w:uiPriority w:val="99"/>
    <w:semiHidden/>
    <w:unhideWhenUsed/>
    <w:rsid w:val="009B54DE"/>
    <w:rPr>
      <w:color w:val="800080" w:themeColor="followedHyperlink"/>
      <w:u w:val="single"/>
    </w:rPr>
  </w:style>
  <w:style w:type="character" w:styleId="CommentReference">
    <w:name w:val="annotation reference"/>
    <w:basedOn w:val="DefaultParagraphFont"/>
    <w:uiPriority w:val="99"/>
    <w:semiHidden/>
    <w:unhideWhenUsed/>
    <w:rsid w:val="000F2E6A"/>
    <w:rPr>
      <w:sz w:val="16"/>
      <w:szCs w:val="16"/>
    </w:rPr>
  </w:style>
  <w:style w:type="paragraph" w:styleId="CommentText">
    <w:name w:val="annotation text"/>
    <w:basedOn w:val="Normal"/>
    <w:link w:val="CommentTextChar"/>
    <w:uiPriority w:val="99"/>
    <w:semiHidden/>
    <w:unhideWhenUsed/>
    <w:rsid w:val="000F2E6A"/>
    <w:pPr>
      <w:spacing w:line="240" w:lineRule="auto"/>
    </w:pPr>
    <w:rPr>
      <w:sz w:val="20"/>
      <w:szCs w:val="20"/>
    </w:rPr>
  </w:style>
  <w:style w:type="character" w:customStyle="1" w:styleId="CommentTextChar">
    <w:name w:val="Comment Text Char"/>
    <w:basedOn w:val="DefaultParagraphFont"/>
    <w:link w:val="CommentText"/>
    <w:uiPriority w:val="99"/>
    <w:semiHidden/>
    <w:rsid w:val="000F2E6A"/>
    <w:rPr>
      <w:sz w:val="20"/>
      <w:szCs w:val="20"/>
    </w:rPr>
  </w:style>
  <w:style w:type="paragraph" w:styleId="CommentSubject">
    <w:name w:val="annotation subject"/>
    <w:basedOn w:val="CommentText"/>
    <w:next w:val="CommentText"/>
    <w:link w:val="CommentSubjectChar"/>
    <w:uiPriority w:val="99"/>
    <w:semiHidden/>
    <w:unhideWhenUsed/>
    <w:rsid w:val="000F2E6A"/>
    <w:rPr>
      <w:b/>
      <w:bCs/>
    </w:rPr>
  </w:style>
  <w:style w:type="character" w:customStyle="1" w:styleId="CommentSubjectChar">
    <w:name w:val="Comment Subject Char"/>
    <w:basedOn w:val="CommentTextChar"/>
    <w:link w:val="CommentSubject"/>
    <w:uiPriority w:val="99"/>
    <w:semiHidden/>
    <w:rsid w:val="000F2E6A"/>
    <w:rPr>
      <w:b/>
      <w:bCs/>
      <w:sz w:val="20"/>
      <w:szCs w:val="20"/>
    </w:rPr>
  </w:style>
  <w:style w:type="paragraph" w:styleId="BalloonText">
    <w:name w:val="Balloon Text"/>
    <w:basedOn w:val="Normal"/>
    <w:link w:val="BalloonTextChar"/>
    <w:uiPriority w:val="99"/>
    <w:semiHidden/>
    <w:unhideWhenUsed/>
    <w:rsid w:val="000F2E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E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1067FA"/>
    <w:pPr>
      <w:numPr>
        <w:numId w:val="1"/>
      </w:numPr>
    </w:pPr>
  </w:style>
  <w:style w:type="paragraph" w:customStyle="1" w:styleId="Default">
    <w:name w:val="Default"/>
    <w:rsid w:val="00EC362D"/>
    <w:pPr>
      <w:autoSpaceDE w:val="0"/>
      <w:autoSpaceDN w:val="0"/>
      <w:adjustRightInd w:val="0"/>
      <w:spacing w:after="0" w:line="240" w:lineRule="auto"/>
    </w:pPr>
    <w:rPr>
      <w:rFonts w:ascii="Wingdings" w:hAnsi="Wingdings" w:cs="Wingdings"/>
      <w:color w:val="000000"/>
      <w:sz w:val="24"/>
      <w:szCs w:val="24"/>
    </w:rPr>
  </w:style>
  <w:style w:type="table" w:styleId="TableGrid">
    <w:name w:val="Table Grid"/>
    <w:basedOn w:val="TableNormal"/>
    <w:uiPriority w:val="59"/>
    <w:rsid w:val="000F0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0506"/>
    <w:pPr>
      <w:ind w:left="720"/>
      <w:contextualSpacing/>
    </w:pPr>
  </w:style>
  <w:style w:type="paragraph" w:styleId="Header">
    <w:name w:val="header"/>
    <w:basedOn w:val="Normal"/>
    <w:link w:val="HeaderChar"/>
    <w:uiPriority w:val="99"/>
    <w:unhideWhenUsed/>
    <w:rsid w:val="000F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506"/>
  </w:style>
  <w:style w:type="paragraph" w:styleId="Footer">
    <w:name w:val="footer"/>
    <w:basedOn w:val="Normal"/>
    <w:link w:val="FooterChar"/>
    <w:uiPriority w:val="99"/>
    <w:unhideWhenUsed/>
    <w:rsid w:val="000F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506"/>
  </w:style>
  <w:style w:type="character" w:styleId="Hyperlink">
    <w:name w:val="Hyperlink"/>
    <w:basedOn w:val="DefaultParagraphFont"/>
    <w:uiPriority w:val="99"/>
    <w:unhideWhenUsed/>
    <w:rsid w:val="00606F98"/>
    <w:rPr>
      <w:color w:val="0000FF"/>
      <w:u w:val="single"/>
    </w:rPr>
  </w:style>
  <w:style w:type="paragraph" w:styleId="FootnoteText">
    <w:name w:val="footnote text"/>
    <w:basedOn w:val="Normal"/>
    <w:link w:val="FootnoteTextChar"/>
    <w:uiPriority w:val="99"/>
    <w:semiHidden/>
    <w:unhideWhenUsed/>
    <w:rsid w:val="007C2A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2A80"/>
    <w:rPr>
      <w:sz w:val="20"/>
      <w:szCs w:val="20"/>
    </w:rPr>
  </w:style>
  <w:style w:type="character" w:styleId="FootnoteReference">
    <w:name w:val="footnote reference"/>
    <w:basedOn w:val="DefaultParagraphFont"/>
    <w:uiPriority w:val="99"/>
    <w:semiHidden/>
    <w:unhideWhenUsed/>
    <w:rsid w:val="007C2A80"/>
    <w:rPr>
      <w:vertAlign w:val="superscript"/>
    </w:rPr>
  </w:style>
  <w:style w:type="character" w:styleId="FollowedHyperlink">
    <w:name w:val="FollowedHyperlink"/>
    <w:basedOn w:val="DefaultParagraphFont"/>
    <w:uiPriority w:val="99"/>
    <w:semiHidden/>
    <w:unhideWhenUsed/>
    <w:rsid w:val="009B54DE"/>
    <w:rPr>
      <w:color w:val="800080" w:themeColor="followedHyperlink"/>
      <w:u w:val="single"/>
    </w:rPr>
  </w:style>
  <w:style w:type="character" w:styleId="CommentReference">
    <w:name w:val="annotation reference"/>
    <w:basedOn w:val="DefaultParagraphFont"/>
    <w:uiPriority w:val="99"/>
    <w:semiHidden/>
    <w:unhideWhenUsed/>
    <w:rsid w:val="000F2E6A"/>
    <w:rPr>
      <w:sz w:val="16"/>
      <w:szCs w:val="16"/>
    </w:rPr>
  </w:style>
  <w:style w:type="paragraph" w:styleId="CommentText">
    <w:name w:val="annotation text"/>
    <w:basedOn w:val="Normal"/>
    <w:link w:val="CommentTextChar"/>
    <w:uiPriority w:val="99"/>
    <w:semiHidden/>
    <w:unhideWhenUsed/>
    <w:rsid w:val="000F2E6A"/>
    <w:pPr>
      <w:spacing w:line="240" w:lineRule="auto"/>
    </w:pPr>
    <w:rPr>
      <w:sz w:val="20"/>
      <w:szCs w:val="20"/>
    </w:rPr>
  </w:style>
  <w:style w:type="character" w:customStyle="1" w:styleId="CommentTextChar">
    <w:name w:val="Comment Text Char"/>
    <w:basedOn w:val="DefaultParagraphFont"/>
    <w:link w:val="CommentText"/>
    <w:uiPriority w:val="99"/>
    <w:semiHidden/>
    <w:rsid w:val="000F2E6A"/>
    <w:rPr>
      <w:sz w:val="20"/>
      <w:szCs w:val="20"/>
    </w:rPr>
  </w:style>
  <w:style w:type="paragraph" w:styleId="CommentSubject">
    <w:name w:val="annotation subject"/>
    <w:basedOn w:val="CommentText"/>
    <w:next w:val="CommentText"/>
    <w:link w:val="CommentSubjectChar"/>
    <w:uiPriority w:val="99"/>
    <w:semiHidden/>
    <w:unhideWhenUsed/>
    <w:rsid w:val="000F2E6A"/>
    <w:rPr>
      <w:b/>
      <w:bCs/>
    </w:rPr>
  </w:style>
  <w:style w:type="character" w:customStyle="1" w:styleId="CommentSubjectChar">
    <w:name w:val="Comment Subject Char"/>
    <w:basedOn w:val="CommentTextChar"/>
    <w:link w:val="CommentSubject"/>
    <w:uiPriority w:val="99"/>
    <w:semiHidden/>
    <w:rsid w:val="000F2E6A"/>
    <w:rPr>
      <w:b/>
      <w:bCs/>
      <w:sz w:val="20"/>
      <w:szCs w:val="20"/>
    </w:rPr>
  </w:style>
  <w:style w:type="paragraph" w:styleId="BalloonText">
    <w:name w:val="Balloon Text"/>
    <w:basedOn w:val="Normal"/>
    <w:link w:val="BalloonTextChar"/>
    <w:uiPriority w:val="99"/>
    <w:semiHidden/>
    <w:unhideWhenUsed/>
    <w:rsid w:val="000F2E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E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x-rates.com/average/?from=EUR&amp;to=USD&amp;amount=1.00&amp;year=20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ffectivecooperation.org/about-monitoringframework.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drian.ermurachi@gov.md" TargetMode="External"/><Relationship Id="rId4" Type="http://schemas.microsoft.com/office/2007/relationships/stylesWithEffects" Target="stylesWithEffects.xml"/><Relationship Id="rId9" Type="http://schemas.openxmlformats.org/officeDocument/2006/relationships/hyperlink" Target="mailto:lucretia.ciurea@gov.m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B2432-AB6F-473A-A636-62D0924AB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1629</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Sida</Company>
  <LinksUpToDate>false</LinksUpToDate>
  <CharactersWithSpaces>10899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Jakob Schemel</dc:creator>
  <cp:lastModifiedBy>Computer</cp:lastModifiedBy>
  <cp:revision>9</cp:revision>
  <cp:lastPrinted>2015-01-27T10:08:00Z</cp:lastPrinted>
  <dcterms:created xsi:type="dcterms:W3CDTF">2015-01-27T06:27:00Z</dcterms:created>
  <dcterms:modified xsi:type="dcterms:W3CDTF">2015-01-27T10:09:00Z</dcterms:modified>
</cp:coreProperties>
</file>